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7648" w14:textId="766AA485" w:rsidR="006E6820" w:rsidRPr="00422AE3" w:rsidRDefault="00A94F2E"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rPr>
        <w:t>Communiqué de presse du 31</w:t>
      </w:r>
      <w:bookmarkStart w:id="0" w:name="_GoBack"/>
      <w:bookmarkEnd w:id="0"/>
      <w:r w:rsidR="00424CD1">
        <w:rPr>
          <w:rFonts w:ascii="Arial" w:hAnsi="Arial"/>
          <w:sz w:val="28"/>
        </w:rPr>
        <w:t>/07/2021</w:t>
      </w:r>
    </w:p>
    <w:p w14:paraId="522A6F0A" w14:textId="77777777" w:rsidR="006E6820" w:rsidRPr="00422AE3" w:rsidRDefault="006E6820" w:rsidP="00B76ED3">
      <w:pPr>
        <w:suppressLineNumbers/>
        <w:outlineLvl w:val="0"/>
        <w:rPr>
          <w:rFonts w:ascii="Arial" w:hAnsi="Arial" w:cs="Arial"/>
          <w:sz w:val="20"/>
          <w:szCs w:val="20"/>
        </w:rPr>
      </w:pPr>
    </w:p>
    <w:p w14:paraId="40F2A607" w14:textId="77777777" w:rsidR="00415D03" w:rsidRPr="00422AE3" w:rsidRDefault="00415D03" w:rsidP="00B76ED3">
      <w:pPr>
        <w:pStyle w:val="berschrift32"/>
        <w:suppressLineNumbers/>
        <w:shd w:val="clear" w:color="auto" w:fill="FFFFFF"/>
        <w:tabs>
          <w:tab w:val="left" w:pos="7740"/>
        </w:tabs>
        <w:spacing w:line="360" w:lineRule="auto"/>
        <w:jc w:val="both"/>
        <w:rPr>
          <w:rFonts w:ascii="Arial" w:hAnsi="Arial" w:cs="Arial"/>
          <w:sz w:val="20"/>
          <w:szCs w:val="20"/>
        </w:rPr>
      </w:pPr>
    </w:p>
    <w:p w14:paraId="37D83AC0" w14:textId="77777777" w:rsidR="00A8325C" w:rsidRDefault="00424CD1" w:rsidP="007073B1">
      <w:pPr>
        <w:pStyle w:val="berschrift32"/>
        <w:suppressLineNumbers/>
        <w:shd w:val="clear" w:color="auto" w:fill="FFFFFF"/>
        <w:tabs>
          <w:tab w:val="left" w:pos="7740"/>
        </w:tabs>
        <w:spacing w:after="200" w:line="360" w:lineRule="auto"/>
        <w:jc w:val="both"/>
        <w:rPr>
          <w:rFonts w:ascii="Arial" w:hAnsi="Arial" w:cs="Arial"/>
          <w:color w:val="auto"/>
          <w:sz w:val="20"/>
          <w:szCs w:val="20"/>
        </w:rPr>
      </w:pPr>
      <w:r>
        <w:rPr>
          <w:rFonts w:ascii="Arial" w:hAnsi="Arial"/>
          <w:color w:val="auto"/>
          <w:sz w:val="20"/>
        </w:rPr>
        <w:t>INDEX au salon EMO 2021 (hall 1, stand C17)</w:t>
      </w:r>
    </w:p>
    <w:p w14:paraId="7D52BA47" w14:textId="77777777" w:rsidR="00415D03" w:rsidRPr="007E6E30" w:rsidRDefault="007073B1" w:rsidP="007073B1">
      <w:pPr>
        <w:pStyle w:val="berschrift32"/>
        <w:suppressLineNumbers/>
        <w:shd w:val="clear" w:color="auto" w:fill="FFFFFF"/>
        <w:tabs>
          <w:tab w:val="left" w:pos="7740"/>
        </w:tabs>
        <w:spacing w:after="200" w:line="360" w:lineRule="auto"/>
        <w:jc w:val="both"/>
        <w:rPr>
          <w:rFonts w:ascii="Arial" w:hAnsi="Arial" w:cs="Arial"/>
          <w:b w:val="0"/>
          <w:spacing w:val="-2"/>
          <w:sz w:val="32"/>
          <w:szCs w:val="32"/>
        </w:rPr>
      </w:pPr>
      <w:r>
        <w:rPr>
          <w:rFonts w:ascii="Arial" w:hAnsi="Arial"/>
          <w:b w:val="0"/>
          <w:sz w:val="32"/>
        </w:rPr>
        <w:t>Machines, IoT et un nouveau domaine d’activité</w:t>
      </w:r>
    </w:p>
    <w:p w14:paraId="69C13086" w14:textId="77777777" w:rsidR="00836F98" w:rsidRDefault="00836F98" w:rsidP="00B76ED3">
      <w:pPr>
        <w:spacing w:after="200" w:line="360" w:lineRule="auto"/>
        <w:jc w:val="both"/>
        <w:rPr>
          <w:rFonts w:ascii="Arial" w:eastAsiaTheme="minorHAnsi" w:hAnsi="Arial" w:cs="Arial"/>
          <w:b/>
          <w:sz w:val="20"/>
          <w:szCs w:val="20"/>
        </w:rPr>
      </w:pPr>
      <w:r>
        <w:rPr>
          <w:rFonts w:ascii="Arial" w:hAnsi="Arial"/>
          <w:b/>
          <w:sz w:val="20"/>
        </w:rPr>
        <w:t>De nouveaux tours automatiques, encore plus productifs, une efficacité améliorée grâce à la plateforme Cloud iXworld et une toute nouvelle offre dans le domaine de l’impression 3D métal – à l’occasion du salon EMO 2021 à Milan, INDEX montre comment l’usinage des métaux peut être durable.</w:t>
      </w:r>
    </w:p>
    <w:p w14:paraId="336F72E6" w14:textId="233DA248" w:rsidR="00A358D5" w:rsidRDefault="00A358D5" w:rsidP="00A358D5">
      <w:pPr>
        <w:spacing w:after="200" w:line="360" w:lineRule="auto"/>
        <w:jc w:val="both"/>
        <w:rPr>
          <w:rFonts w:ascii="Arial" w:hAnsi="Arial" w:cs="Arial"/>
          <w:sz w:val="20"/>
          <w:szCs w:val="20"/>
        </w:rPr>
      </w:pPr>
      <w:r>
        <w:rPr>
          <w:rFonts w:ascii="Arial" w:hAnsi="Arial"/>
          <w:sz w:val="20"/>
        </w:rPr>
        <w:t xml:space="preserve">Sur le stand du salon EMO (hall 1, C17), INDEX présente les tous derniers développements de machine, répondant aux exigences actuelles du marché. L’entreprise répond ainsi par exemple à la tendance vers l’usinage complet avec les nouveaux centres de tournage / fraisage, maîtrisant de manière pratiquement identique les deux technologies. Après la réussite de la mise sur le marché des modèles INDEX G220, INDEX G420 et G520, INDEX présente le modèle </w:t>
      </w:r>
      <w:r>
        <w:rPr>
          <w:rFonts w:ascii="Arial" w:hAnsi="Arial"/>
          <w:b/>
          <w:sz w:val="20"/>
        </w:rPr>
        <w:t>INDEX G320</w:t>
      </w:r>
      <w:r>
        <w:rPr>
          <w:rFonts w:ascii="Arial" w:hAnsi="Arial"/>
          <w:sz w:val="20"/>
        </w:rPr>
        <w:t>, de taille moyenne. Il offre une longueur de tournage maximale de 1400</w:t>
      </w:r>
      <w:r w:rsidR="007F2E16">
        <w:rPr>
          <w:rFonts w:ascii="Arial" w:hAnsi="Arial"/>
          <w:sz w:val="20"/>
        </w:rPr>
        <w:t> </w:t>
      </w:r>
      <w:r>
        <w:rPr>
          <w:rFonts w:ascii="Arial" w:hAnsi="Arial"/>
          <w:sz w:val="20"/>
        </w:rPr>
        <w:t>mm et des caractéristiques de puissance adaptées par rapport à ses grands frères.</w:t>
      </w:r>
    </w:p>
    <w:p w14:paraId="5597C2D0" w14:textId="10E08DB8" w:rsidR="003A57C5" w:rsidRDefault="00A358D5" w:rsidP="00F54CDB">
      <w:pPr>
        <w:spacing w:after="200" w:line="360" w:lineRule="auto"/>
        <w:jc w:val="both"/>
        <w:rPr>
          <w:rFonts w:ascii="Arial" w:hAnsi="Arial" w:cs="Arial"/>
          <w:sz w:val="20"/>
          <w:szCs w:val="20"/>
        </w:rPr>
      </w:pPr>
      <w:r>
        <w:rPr>
          <w:rFonts w:ascii="Arial" w:hAnsi="Arial"/>
          <w:sz w:val="20"/>
        </w:rPr>
        <w:t xml:space="preserve">De même, la nouvelle version du brillant </w:t>
      </w:r>
      <w:r>
        <w:rPr>
          <w:rFonts w:ascii="Arial" w:hAnsi="Arial"/>
          <w:b/>
          <w:sz w:val="20"/>
        </w:rPr>
        <w:t>tour automatique CNC ABC</w:t>
      </w:r>
      <w:r>
        <w:rPr>
          <w:rFonts w:ascii="Arial" w:hAnsi="Arial"/>
          <w:sz w:val="20"/>
        </w:rPr>
        <w:t xml:space="preserve"> s’oriente fortement sur les marchés avec des besoins en </w:t>
      </w:r>
      <w:r w:rsidR="00C01B3B">
        <w:rPr>
          <w:rFonts w:ascii="Arial" w:hAnsi="Arial"/>
          <w:sz w:val="20"/>
        </w:rPr>
        <w:t xml:space="preserve">plus </w:t>
      </w:r>
      <w:r>
        <w:rPr>
          <w:rFonts w:ascii="Arial" w:hAnsi="Arial"/>
          <w:sz w:val="20"/>
        </w:rPr>
        <w:t xml:space="preserve">petites quantités de pièces et en lots de tailles </w:t>
      </w:r>
      <w:r w:rsidR="00C01B3B">
        <w:rPr>
          <w:rFonts w:ascii="Arial" w:hAnsi="Arial"/>
          <w:sz w:val="20"/>
        </w:rPr>
        <w:t xml:space="preserve">plus </w:t>
      </w:r>
      <w:r>
        <w:rPr>
          <w:rFonts w:ascii="Arial" w:hAnsi="Arial"/>
          <w:sz w:val="20"/>
        </w:rPr>
        <w:t>complexe</w:t>
      </w:r>
      <w:r w:rsidR="00C01B3B">
        <w:rPr>
          <w:rFonts w:ascii="Arial" w:hAnsi="Arial"/>
          <w:sz w:val="20"/>
        </w:rPr>
        <w:t>s</w:t>
      </w:r>
      <w:r>
        <w:rPr>
          <w:rFonts w:ascii="Arial" w:hAnsi="Arial"/>
          <w:sz w:val="20"/>
        </w:rPr>
        <w:t>. La flexibilité correspondante est assurée en première ligne par la tourelle d’outils supérieure, disposant désormais d’une fonction d’axes Y et pouvant également être équipée de supports multiples. Le nouveau INDEX ABC conserve également toutes les caractéristiques appréciées des modèles précédents, comme l’encombrement au sol réduit et la densité de performances élevée.</w:t>
      </w:r>
    </w:p>
    <w:p w14:paraId="3A197690" w14:textId="77777777" w:rsidR="00B80843" w:rsidRDefault="00F54CDB" w:rsidP="00F54CDB">
      <w:pPr>
        <w:spacing w:after="200" w:line="360" w:lineRule="auto"/>
        <w:jc w:val="both"/>
        <w:rPr>
          <w:rFonts w:ascii="Arial" w:hAnsi="Arial" w:cs="Arial"/>
          <w:sz w:val="20"/>
          <w:szCs w:val="20"/>
        </w:rPr>
      </w:pPr>
      <w:r>
        <w:rPr>
          <w:rFonts w:ascii="Arial" w:hAnsi="Arial"/>
          <w:sz w:val="20"/>
        </w:rPr>
        <w:t xml:space="preserve">Un autre point fort est le </w:t>
      </w:r>
      <w:r>
        <w:rPr>
          <w:rFonts w:ascii="Arial" w:hAnsi="Arial"/>
          <w:b/>
          <w:sz w:val="20"/>
        </w:rPr>
        <w:t>tour automatique multibroches INDEX MS24-6</w:t>
      </w:r>
      <w:r>
        <w:rPr>
          <w:rFonts w:ascii="Arial" w:hAnsi="Arial"/>
          <w:sz w:val="20"/>
        </w:rPr>
        <w:t>, qui fêtera sa première apparition sur un salon à l'occasion de l’EMO. Le successeur du multibroches INDEX MS22-6 est légèrement plus grand en terme de diamètre de barres maximum mais est plus compact et est doté de nombreuses caractéristiques garantissant un usinage des plus rentables - comme par ex. l’équipement rapide et simple avec le nouveau système de changement rapide d’outils INDEX.</w:t>
      </w:r>
    </w:p>
    <w:p w14:paraId="7DE63359" w14:textId="4978FFBD" w:rsidR="00B80843" w:rsidRDefault="00F54CDB" w:rsidP="007073B1">
      <w:pPr>
        <w:spacing w:after="200" w:line="360" w:lineRule="auto"/>
        <w:jc w:val="both"/>
        <w:rPr>
          <w:rFonts w:ascii="Arial" w:hAnsi="Arial" w:cs="Arial"/>
          <w:sz w:val="20"/>
          <w:szCs w:val="20"/>
        </w:rPr>
      </w:pPr>
      <w:r>
        <w:rPr>
          <w:rFonts w:ascii="Arial" w:hAnsi="Arial"/>
          <w:sz w:val="20"/>
        </w:rPr>
        <w:lastRenderedPageBreak/>
        <w:t xml:space="preserve">Également présente pour la première fois sur un salon, la seconde génération de la </w:t>
      </w:r>
      <w:r>
        <w:rPr>
          <w:rFonts w:ascii="Arial" w:hAnsi="Arial"/>
          <w:b/>
          <w:sz w:val="20"/>
        </w:rPr>
        <w:t>TRAUB TNL12</w:t>
      </w:r>
      <w:r w:rsidR="007F2E16">
        <w:rPr>
          <w:rFonts w:ascii="Arial" w:hAnsi="Arial"/>
          <w:sz w:val="20"/>
        </w:rPr>
        <w:t> </w:t>
      </w:r>
      <w:r>
        <w:rPr>
          <w:rFonts w:ascii="Arial" w:hAnsi="Arial"/>
          <w:sz w:val="20"/>
        </w:rPr>
        <w:t>: il s’agit d’un tour automatique longitudinal, qui, comme les grands modèles de cette gamme, peut être transformé rapidement pour l’usinage transversal. Il séduit par sa structure compacte et sa cinématique améliorée. Pour la production de petites pièces de précision, cela apporte plus de productivité et de polyvalence tout en réduisant l’encombrement de la machine.</w:t>
      </w:r>
    </w:p>
    <w:p w14:paraId="034CD0A7" w14:textId="77777777" w:rsidR="003A57C5" w:rsidRDefault="00F54CDB" w:rsidP="00FD3F31">
      <w:pPr>
        <w:spacing w:after="200" w:line="360" w:lineRule="auto"/>
        <w:jc w:val="both"/>
        <w:rPr>
          <w:rFonts w:ascii="Arial" w:hAnsi="Arial" w:cs="Arial"/>
          <w:sz w:val="20"/>
          <w:szCs w:val="20"/>
        </w:rPr>
      </w:pPr>
      <w:r>
        <w:rPr>
          <w:rFonts w:ascii="Arial" w:hAnsi="Arial"/>
          <w:sz w:val="20"/>
        </w:rPr>
        <w:t>Les nouvelles machines sont sans le moindre doute l’élément essentiel de l’offre INDEX. Afin de mettre en avant leurs avantages pratiques, INDEX présente différentes informations sur son stand du salon EMO sur les thèmes de l’</w:t>
      </w:r>
      <w:r>
        <w:rPr>
          <w:rFonts w:ascii="Arial" w:hAnsi="Arial"/>
          <w:b/>
          <w:sz w:val="20"/>
        </w:rPr>
        <w:t>E-mobilité, du médical et de l'aérospatial</w:t>
      </w:r>
      <w:r>
        <w:rPr>
          <w:rFonts w:ascii="Arial" w:hAnsi="Arial"/>
          <w:sz w:val="20"/>
        </w:rPr>
        <w:t>. Des spécialistes des applications seront à la disposition des visiteurs pour toute question spécifique.</w:t>
      </w:r>
    </w:p>
    <w:p w14:paraId="34ED38C3" w14:textId="4C617E43" w:rsidR="00F54CDB" w:rsidRDefault="00F54CDB" w:rsidP="00FD3F31">
      <w:pPr>
        <w:spacing w:after="200" w:line="360" w:lineRule="auto"/>
        <w:jc w:val="both"/>
        <w:rPr>
          <w:rFonts w:ascii="Arial" w:hAnsi="Arial" w:cs="Arial"/>
          <w:sz w:val="20"/>
          <w:szCs w:val="20"/>
        </w:rPr>
      </w:pPr>
      <w:r>
        <w:rPr>
          <w:rFonts w:ascii="Arial" w:hAnsi="Arial"/>
          <w:sz w:val="20"/>
        </w:rPr>
        <w:t xml:space="preserve">La plateforme </w:t>
      </w:r>
      <w:r w:rsidR="00C01B3B">
        <w:rPr>
          <w:rFonts w:ascii="Arial" w:hAnsi="Arial"/>
          <w:sz w:val="20"/>
        </w:rPr>
        <w:t xml:space="preserve">numérique </w:t>
      </w:r>
      <w:r>
        <w:rPr>
          <w:rFonts w:ascii="Arial" w:hAnsi="Arial"/>
          <w:b/>
          <w:sz w:val="20"/>
        </w:rPr>
        <w:t>iXworld</w:t>
      </w:r>
      <w:r>
        <w:rPr>
          <w:rFonts w:ascii="Arial" w:hAnsi="Arial"/>
          <w:sz w:val="20"/>
        </w:rPr>
        <w:t xml:space="preserve"> d’INDEX sera également présente à tous les niveaux sur le stand. Grâce à cette plateforme IoT basée sur le Cloud, le fabricant de machines offre </w:t>
      </w:r>
      <w:r w:rsidR="00C01B3B">
        <w:rPr>
          <w:rFonts w:ascii="Arial" w:hAnsi="Arial"/>
          <w:sz w:val="20"/>
        </w:rPr>
        <w:t>un</w:t>
      </w:r>
      <w:r>
        <w:rPr>
          <w:rFonts w:ascii="Arial" w:hAnsi="Arial"/>
          <w:sz w:val="20"/>
        </w:rPr>
        <w:t xml:space="preserve"> accès simple et rapide à toutes les informations importantes liées à son offre de machines et de technologies. Les portails iX4.0, iXshop et iXservices intégrés assurent une assistance numérique pour l’ensemble de la chaîne de processus grâce à leurs nombreuses applications – toujours orientés vers l’application et l’efficacité.</w:t>
      </w:r>
    </w:p>
    <w:p w14:paraId="0BA75D1F" w14:textId="77777777" w:rsidR="00FD3F31" w:rsidRDefault="00FD3F31" w:rsidP="00FD3F31">
      <w:pPr>
        <w:spacing w:after="200" w:line="360" w:lineRule="auto"/>
        <w:jc w:val="both"/>
        <w:rPr>
          <w:rFonts w:ascii="Arial" w:hAnsi="Arial" w:cs="Arial"/>
          <w:sz w:val="20"/>
          <w:szCs w:val="20"/>
        </w:rPr>
      </w:pPr>
      <w:r>
        <w:rPr>
          <w:rFonts w:ascii="Arial" w:hAnsi="Arial"/>
          <w:sz w:val="20"/>
        </w:rPr>
        <w:t xml:space="preserve">Pour finir en beauté, le groupe INDEX profite de l’EMO pour présenter </w:t>
      </w:r>
      <w:r>
        <w:rPr>
          <w:rFonts w:ascii="Arial" w:hAnsi="Arial"/>
          <w:b/>
          <w:sz w:val="20"/>
        </w:rPr>
        <w:t>OCM</w:t>
      </w:r>
      <w:r>
        <w:rPr>
          <w:rFonts w:ascii="Arial" w:hAnsi="Arial"/>
          <w:sz w:val="20"/>
        </w:rPr>
        <w:t>, One Click Metal GmbH, société dans laquelle INDEX est actionnaire majoritaire depuis peu. Le groupe INDEX étend ainsi ses activités avec le secteur prometteur des « solutions d’usinage supplémentaires ». Avec une vingtaine d’employés, One Click Metal développe des solutions intégrées dans le domaine de l’impression 3D métal pour des composants de petite et moyenne taille. De la programmation à l’impression, en passant par le déballage et le circuit de poudre métallique, toutes les étapes du processus sont conçues pour une utilisation la plus simple et la plus conviviale possible.</w:t>
      </w:r>
    </w:p>
    <w:p w14:paraId="2EAC354C" w14:textId="77777777" w:rsidR="00FD3F31" w:rsidRPr="00FD3F31" w:rsidRDefault="00FD3F31" w:rsidP="00FD3F31">
      <w:pPr>
        <w:spacing w:after="200" w:line="360" w:lineRule="auto"/>
        <w:jc w:val="both"/>
        <w:rPr>
          <w:rFonts w:ascii="Arial" w:hAnsi="Arial" w:cs="Arial"/>
          <w:sz w:val="20"/>
          <w:szCs w:val="20"/>
        </w:rPr>
      </w:pPr>
    </w:p>
    <w:p w14:paraId="1F855F95" w14:textId="77777777" w:rsidR="00A8325C" w:rsidRPr="00424CD1" w:rsidRDefault="00A8325C" w:rsidP="00B76ED3">
      <w:pPr>
        <w:spacing w:line="360" w:lineRule="auto"/>
        <w:jc w:val="both"/>
        <w:rPr>
          <w:rFonts w:ascii="Arial" w:hAnsi="Arial" w:cs="Arial"/>
          <w:sz w:val="20"/>
          <w:szCs w:val="20"/>
        </w:rPr>
      </w:pPr>
    </w:p>
    <w:p w14:paraId="5AB088BB" w14:textId="77777777" w:rsidR="00A8325C" w:rsidRPr="00424CD1" w:rsidRDefault="00A8325C" w:rsidP="00B76ED3">
      <w:pPr>
        <w:spacing w:line="360" w:lineRule="auto"/>
        <w:jc w:val="both"/>
        <w:rPr>
          <w:rFonts w:ascii="Arial" w:hAnsi="Arial" w:cs="Arial"/>
          <w:sz w:val="20"/>
          <w:szCs w:val="20"/>
        </w:rPr>
      </w:pPr>
    </w:p>
    <w:p w14:paraId="417A5137" w14:textId="77777777" w:rsidR="00A8325C" w:rsidRPr="00424CD1" w:rsidRDefault="00A8325C" w:rsidP="00B76ED3">
      <w:pPr>
        <w:suppressLineNumbers/>
        <w:spacing w:line="336" w:lineRule="auto"/>
        <w:rPr>
          <w:rFonts w:ascii="Arial" w:hAnsi="Arial" w:cs="Arial"/>
          <w:sz w:val="20"/>
          <w:szCs w:val="20"/>
        </w:rPr>
      </w:pPr>
    </w:p>
    <w:p w14:paraId="0C8A784F" w14:textId="77777777" w:rsidR="004F741B" w:rsidRPr="00424CD1" w:rsidRDefault="004F741B" w:rsidP="00B76ED3">
      <w:pPr>
        <w:suppressLineNumbers/>
        <w:spacing w:line="336" w:lineRule="auto"/>
        <w:rPr>
          <w:rFonts w:ascii="Arial" w:hAnsi="Arial" w:cs="Arial"/>
          <w:sz w:val="20"/>
          <w:szCs w:val="20"/>
        </w:rPr>
      </w:pPr>
    </w:p>
    <w:p w14:paraId="3736338F" w14:textId="77777777" w:rsidR="00415D03" w:rsidRPr="00A94F2E" w:rsidRDefault="00415D03" w:rsidP="00455D3B">
      <w:pPr>
        <w:suppressLineNumbers/>
        <w:spacing w:line="336" w:lineRule="auto"/>
        <w:rPr>
          <w:rFonts w:ascii="Arial" w:hAnsi="Arial" w:cs="Arial"/>
          <w:sz w:val="20"/>
          <w:szCs w:val="20"/>
        </w:rPr>
      </w:pPr>
      <w:r w:rsidRPr="007F2E16">
        <w:rPr>
          <w:rFonts w:ascii="Arial" w:hAnsi="Arial"/>
          <w:b/>
          <w:sz w:val="20"/>
          <w:lang w:val="en-US"/>
        </w:rPr>
        <w:t>Contact :</w:t>
      </w:r>
      <w:r w:rsidRPr="007F2E16">
        <w:rPr>
          <w:rFonts w:ascii="Arial" w:hAnsi="Arial"/>
          <w:sz w:val="20"/>
          <w:lang w:val="en-US"/>
        </w:rPr>
        <w:tab/>
        <w:t xml:space="preserve">INDEX-Werke GmbH &amp; Co. </w:t>
      </w:r>
      <w:r w:rsidRPr="00A94F2E">
        <w:rPr>
          <w:rFonts w:ascii="Arial" w:hAnsi="Arial"/>
          <w:sz w:val="20"/>
        </w:rPr>
        <w:t>KG Hahn &amp; Tessky</w:t>
      </w:r>
    </w:p>
    <w:p w14:paraId="3564CC04" w14:textId="77777777" w:rsidR="00415D03" w:rsidRPr="00A94F2E" w:rsidRDefault="00415D03" w:rsidP="00455D3B">
      <w:pPr>
        <w:suppressLineNumbers/>
        <w:spacing w:line="336" w:lineRule="auto"/>
        <w:ind w:firstLine="1418"/>
        <w:rPr>
          <w:rFonts w:ascii="Arial" w:hAnsi="Arial" w:cs="Arial"/>
          <w:sz w:val="20"/>
          <w:szCs w:val="20"/>
        </w:rPr>
      </w:pPr>
      <w:r w:rsidRPr="00A94F2E">
        <w:rPr>
          <w:rFonts w:ascii="Arial" w:hAnsi="Arial"/>
          <w:sz w:val="20"/>
        </w:rPr>
        <w:t>Rainer Gondek</w:t>
      </w:r>
    </w:p>
    <w:p w14:paraId="76F391D6" w14:textId="77777777" w:rsidR="00415D03" w:rsidRPr="00A94F2E" w:rsidRDefault="00415D03" w:rsidP="00455D3B">
      <w:pPr>
        <w:suppressLineNumbers/>
        <w:spacing w:line="336" w:lineRule="auto"/>
        <w:ind w:firstLine="1418"/>
        <w:rPr>
          <w:rFonts w:ascii="Arial" w:hAnsi="Arial" w:cs="Arial"/>
          <w:sz w:val="20"/>
          <w:szCs w:val="20"/>
        </w:rPr>
      </w:pPr>
      <w:r w:rsidRPr="00A94F2E">
        <w:rPr>
          <w:rFonts w:ascii="Arial" w:hAnsi="Arial"/>
          <w:sz w:val="20"/>
        </w:rPr>
        <w:lastRenderedPageBreak/>
        <w:t xml:space="preserve">Directeur Global Marketing </w:t>
      </w:r>
    </w:p>
    <w:p w14:paraId="792EBD85"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rPr>
        <w:t>Tél. : +49 (711) 3191-1286</w:t>
      </w:r>
    </w:p>
    <w:p w14:paraId="11297E0C" w14:textId="77777777" w:rsidR="00415D03" w:rsidRPr="00422AE3" w:rsidRDefault="00A94F2E" w:rsidP="00455D3B">
      <w:pPr>
        <w:suppressLineNumbers/>
        <w:spacing w:line="336" w:lineRule="auto"/>
        <w:ind w:firstLine="1418"/>
        <w:rPr>
          <w:rFonts w:ascii="Arial" w:hAnsi="Arial" w:cs="Arial"/>
          <w:sz w:val="20"/>
          <w:szCs w:val="20"/>
        </w:rPr>
      </w:pPr>
      <w:hyperlink r:id="rId8" w:history="1">
        <w:r w:rsidR="00E452AB">
          <w:rPr>
            <w:rStyle w:val="Hyperlink"/>
            <w:rFonts w:ascii="Arial" w:hAnsi="Arial"/>
            <w:sz w:val="20"/>
          </w:rPr>
          <w:t>rainer.gondek@index-werke.de</w:t>
        </w:r>
      </w:hyperlink>
      <w:r w:rsidR="00E452AB">
        <w:rPr>
          <w:rFonts w:ascii="Arial" w:hAnsi="Arial"/>
          <w:sz w:val="20"/>
        </w:rPr>
        <w:t xml:space="preserve"> </w:t>
      </w:r>
    </w:p>
    <w:p w14:paraId="7FD54708" w14:textId="77777777" w:rsidR="006E6820" w:rsidRPr="00422AE3" w:rsidRDefault="00F969E1" w:rsidP="00455D3B">
      <w:pPr>
        <w:suppressLineNumbers/>
        <w:spacing w:line="336" w:lineRule="auto"/>
        <w:ind w:firstLine="1418"/>
        <w:rPr>
          <w:rFonts w:ascii="Arial" w:hAnsi="Arial" w:cs="Arial"/>
          <w:sz w:val="20"/>
          <w:szCs w:val="20"/>
        </w:rPr>
      </w:pPr>
      <w:r>
        <w:rPr>
          <w:rFonts w:ascii="Arial" w:hAnsi="Arial"/>
          <w:sz w:val="20"/>
        </w:rPr>
        <w:t xml:space="preserve"> </w:t>
      </w:r>
    </w:p>
    <w:p w14:paraId="3412F259" w14:textId="77777777" w:rsidR="00422AE3" w:rsidRDefault="00422AE3" w:rsidP="00B76ED3">
      <w:pPr>
        <w:suppressLineNumbers/>
        <w:spacing w:line="336" w:lineRule="auto"/>
        <w:rPr>
          <w:rFonts w:ascii="Arial" w:hAnsi="Arial" w:cs="Arial"/>
          <w:b/>
          <w:sz w:val="20"/>
          <w:szCs w:val="20"/>
        </w:rPr>
      </w:pPr>
    </w:p>
    <w:p w14:paraId="55E7FE4C" w14:textId="77777777" w:rsidR="00422AE3" w:rsidRDefault="00422AE3" w:rsidP="00B76ED3">
      <w:pPr>
        <w:suppressLineNumbers/>
        <w:spacing w:line="336" w:lineRule="auto"/>
        <w:rPr>
          <w:rFonts w:ascii="Arial" w:hAnsi="Arial" w:cs="Arial"/>
          <w:b/>
          <w:sz w:val="20"/>
          <w:szCs w:val="20"/>
        </w:rPr>
      </w:pPr>
    </w:p>
    <w:p w14:paraId="40138BC4" w14:textId="77777777" w:rsidR="00A56E64" w:rsidRPr="00A56E64" w:rsidRDefault="00A56E64" w:rsidP="00A56E64">
      <w:pPr>
        <w:suppressLineNumbers/>
        <w:rPr>
          <w:rFonts w:ascii="Arial" w:hAnsi="Arial" w:cs="Arial"/>
          <w:sz w:val="20"/>
          <w:szCs w:val="20"/>
        </w:rPr>
      </w:pPr>
    </w:p>
    <w:p w14:paraId="48E5B618" w14:textId="77777777" w:rsidR="00DF7098" w:rsidRDefault="00DF7098">
      <w:pPr>
        <w:rPr>
          <w:rFonts w:ascii="Arial" w:hAnsi="Arial" w:cs="Arial"/>
          <w:sz w:val="20"/>
          <w:szCs w:val="20"/>
        </w:rPr>
      </w:pPr>
      <w:r>
        <w:br w:type="page"/>
      </w:r>
    </w:p>
    <w:p w14:paraId="2F879308" w14:textId="77777777" w:rsidR="00A56E64" w:rsidRPr="00E931A6" w:rsidRDefault="00A56E64" w:rsidP="00A56E64">
      <w:pPr>
        <w:suppressLineNumbers/>
        <w:rPr>
          <w:rFonts w:ascii="Arial" w:hAnsi="Arial" w:cs="Arial"/>
          <w:b/>
          <w:sz w:val="20"/>
          <w:szCs w:val="20"/>
        </w:rPr>
      </w:pPr>
      <w:r>
        <w:rPr>
          <w:rFonts w:ascii="Arial" w:hAnsi="Arial"/>
          <w:b/>
          <w:sz w:val="20"/>
        </w:rPr>
        <w:lastRenderedPageBreak/>
        <w:t>Illustrations</w:t>
      </w:r>
    </w:p>
    <w:p w14:paraId="7F206B5A" w14:textId="77777777" w:rsidR="0044530C" w:rsidRDefault="0044530C" w:rsidP="00A56E64">
      <w:pPr>
        <w:suppressLineNumbers/>
        <w:rPr>
          <w:rFonts w:ascii="Arial" w:hAnsi="Arial" w:cs="Arial"/>
          <w:sz w:val="20"/>
          <w:szCs w:val="20"/>
        </w:rPr>
      </w:pPr>
    </w:p>
    <w:p w14:paraId="19C3468C" w14:textId="7900FFCB" w:rsidR="00A56E64" w:rsidRDefault="0044530C"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9264" behindDoc="0" locked="0" layoutInCell="1" allowOverlap="1" wp14:anchorId="01630C42" wp14:editId="4FD9FA58">
            <wp:simplePos x="0" y="0"/>
            <wp:positionH relativeFrom="column">
              <wp:posOffset>34290</wp:posOffset>
            </wp:positionH>
            <wp:positionV relativeFrom="paragraph">
              <wp:posOffset>319405</wp:posOffset>
            </wp:positionV>
            <wp:extent cx="2233295" cy="1781175"/>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3295" cy="17811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Photo 1</w:t>
      </w:r>
      <w:r w:rsidR="004C0D1B">
        <w:rPr>
          <w:rFonts w:ascii="Arial" w:hAnsi="Arial"/>
          <w:sz w:val="20"/>
        </w:rPr>
        <w:t> </w:t>
      </w:r>
      <w:r>
        <w:rPr>
          <w:rFonts w:ascii="Arial" w:hAnsi="Arial"/>
          <w:sz w:val="20"/>
        </w:rPr>
        <w:t>: Le centre de tournage et de fraisage INDEX G320 offre une longueur de tournage maximale de 1400</w:t>
      </w:r>
      <w:r w:rsidR="004C0D1B">
        <w:rPr>
          <w:rFonts w:ascii="Arial" w:hAnsi="Arial"/>
          <w:sz w:val="20"/>
        </w:rPr>
        <w:t> </w:t>
      </w:r>
      <w:r>
        <w:rPr>
          <w:rFonts w:ascii="Arial" w:hAnsi="Arial"/>
          <w:sz w:val="20"/>
        </w:rPr>
        <w:t>mm et permet un fraisage complet à 5 axes.</w:t>
      </w:r>
    </w:p>
    <w:p w14:paraId="73761D3B" w14:textId="77777777" w:rsidR="0044530C" w:rsidRDefault="0044530C" w:rsidP="00A56E64">
      <w:pPr>
        <w:suppressLineNumbers/>
        <w:rPr>
          <w:rFonts w:ascii="Arial" w:hAnsi="Arial" w:cs="Arial"/>
          <w:sz w:val="20"/>
          <w:szCs w:val="20"/>
        </w:rPr>
      </w:pPr>
    </w:p>
    <w:p w14:paraId="154C5F5D" w14:textId="77777777" w:rsidR="0044530C" w:rsidRDefault="0044530C" w:rsidP="00A56E64">
      <w:pPr>
        <w:suppressLineNumbers/>
        <w:rPr>
          <w:rFonts w:ascii="Arial" w:hAnsi="Arial" w:cs="Arial"/>
          <w:sz w:val="20"/>
          <w:szCs w:val="20"/>
        </w:rPr>
      </w:pPr>
    </w:p>
    <w:p w14:paraId="2DF3413D" w14:textId="77777777" w:rsidR="0044530C" w:rsidRDefault="0044530C" w:rsidP="00A56E64">
      <w:pPr>
        <w:suppressLineNumbers/>
        <w:rPr>
          <w:rFonts w:ascii="Arial" w:hAnsi="Arial" w:cs="Arial"/>
          <w:sz w:val="20"/>
          <w:szCs w:val="20"/>
        </w:rPr>
      </w:pPr>
    </w:p>
    <w:p w14:paraId="681A7B74" w14:textId="77777777" w:rsidR="0044530C" w:rsidRDefault="0044530C" w:rsidP="00A56E64">
      <w:pPr>
        <w:suppressLineNumbers/>
        <w:rPr>
          <w:rFonts w:ascii="Arial" w:hAnsi="Arial" w:cs="Arial"/>
          <w:sz w:val="20"/>
          <w:szCs w:val="20"/>
        </w:rPr>
      </w:pPr>
    </w:p>
    <w:p w14:paraId="5AFEF71E" w14:textId="77777777" w:rsidR="0044530C" w:rsidRDefault="0044530C" w:rsidP="00A56E64">
      <w:pPr>
        <w:suppressLineNumbers/>
        <w:rPr>
          <w:rFonts w:ascii="Arial" w:hAnsi="Arial" w:cs="Arial"/>
          <w:sz w:val="20"/>
          <w:szCs w:val="20"/>
        </w:rPr>
      </w:pPr>
    </w:p>
    <w:p w14:paraId="025B1BE9" w14:textId="77777777" w:rsidR="0044530C" w:rsidRDefault="0044530C" w:rsidP="00A56E64">
      <w:pPr>
        <w:suppressLineNumbers/>
        <w:rPr>
          <w:rFonts w:ascii="Arial" w:hAnsi="Arial" w:cs="Arial"/>
          <w:sz w:val="20"/>
          <w:szCs w:val="20"/>
        </w:rPr>
      </w:pPr>
    </w:p>
    <w:p w14:paraId="7C4A5D3B" w14:textId="77777777" w:rsidR="0044530C" w:rsidRDefault="0044530C" w:rsidP="00A56E64">
      <w:pPr>
        <w:suppressLineNumbers/>
        <w:rPr>
          <w:rFonts w:ascii="Arial" w:hAnsi="Arial" w:cs="Arial"/>
          <w:sz w:val="20"/>
          <w:szCs w:val="20"/>
        </w:rPr>
      </w:pPr>
    </w:p>
    <w:p w14:paraId="4BE7AB5A" w14:textId="77777777" w:rsidR="0044530C" w:rsidRDefault="0044530C" w:rsidP="00A56E64">
      <w:pPr>
        <w:suppressLineNumbers/>
        <w:rPr>
          <w:rFonts w:ascii="Arial" w:hAnsi="Arial" w:cs="Arial"/>
          <w:sz w:val="20"/>
          <w:szCs w:val="20"/>
        </w:rPr>
      </w:pPr>
    </w:p>
    <w:p w14:paraId="11A58379" w14:textId="77777777" w:rsidR="0044530C" w:rsidRDefault="0044530C" w:rsidP="00A56E64">
      <w:pPr>
        <w:suppressLineNumbers/>
        <w:rPr>
          <w:rFonts w:ascii="Arial" w:hAnsi="Arial" w:cs="Arial"/>
          <w:sz w:val="20"/>
          <w:szCs w:val="20"/>
        </w:rPr>
      </w:pPr>
    </w:p>
    <w:p w14:paraId="15B18264" w14:textId="77777777" w:rsidR="0044530C" w:rsidRDefault="0044530C" w:rsidP="00A56E64">
      <w:pPr>
        <w:suppressLineNumbers/>
        <w:rPr>
          <w:rFonts w:ascii="Arial" w:hAnsi="Arial" w:cs="Arial"/>
          <w:sz w:val="20"/>
          <w:szCs w:val="20"/>
        </w:rPr>
      </w:pPr>
    </w:p>
    <w:p w14:paraId="55E3EA1A" w14:textId="77777777" w:rsidR="0044530C" w:rsidRDefault="0044530C" w:rsidP="00A56E64">
      <w:pPr>
        <w:suppressLineNumbers/>
        <w:rPr>
          <w:rFonts w:ascii="Arial" w:hAnsi="Arial" w:cs="Arial"/>
          <w:sz w:val="20"/>
          <w:szCs w:val="20"/>
        </w:rPr>
      </w:pPr>
    </w:p>
    <w:p w14:paraId="2398D4FE" w14:textId="77777777" w:rsidR="0044530C" w:rsidRDefault="0044530C" w:rsidP="00A56E64">
      <w:pPr>
        <w:suppressLineNumbers/>
        <w:rPr>
          <w:rFonts w:ascii="Arial" w:hAnsi="Arial" w:cs="Arial"/>
          <w:sz w:val="20"/>
          <w:szCs w:val="20"/>
        </w:rPr>
      </w:pPr>
    </w:p>
    <w:p w14:paraId="392FDD2E" w14:textId="77777777" w:rsidR="0044530C" w:rsidRDefault="0044530C" w:rsidP="00A56E64">
      <w:pPr>
        <w:suppressLineNumbers/>
        <w:rPr>
          <w:rFonts w:ascii="Arial" w:hAnsi="Arial" w:cs="Arial"/>
          <w:sz w:val="20"/>
          <w:szCs w:val="20"/>
        </w:rPr>
      </w:pPr>
    </w:p>
    <w:p w14:paraId="7C44FD6E" w14:textId="77777777" w:rsidR="0044530C" w:rsidRDefault="0044530C" w:rsidP="00A56E64">
      <w:pPr>
        <w:suppressLineNumbers/>
        <w:rPr>
          <w:rFonts w:ascii="Arial" w:hAnsi="Arial" w:cs="Arial"/>
          <w:sz w:val="20"/>
          <w:szCs w:val="20"/>
        </w:rPr>
      </w:pPr>
      <w:r>
        <w:rPr>
          <w:rFonts w:ascii="Arial" w:hAnsi="Arial"/>
          <w:sz w:val="20"/>
        </w:rPr>
        <w:t>Photo 2 : La tourelle supérieure dispose désormais de la fonction d’axes Y et peut être équipée de supports multiples.</w:t>
      </w:r>
    </w:p>
    <w:p w14:paraId="7DBB6F5A" w14:textId="77777777" w:rsidR="0044530C" w:rsidRDefault="0044530C" w:rsidP="00A56E64">
      <w:pPr>
        <w:suppressLineNumbers/>
        <w:rPr>
          <w:rFonts w:ascii="Arial" w:hAnsi="Arial" w:cs="Arial"/>
          <w:sz w:val="20"/>
          <w:szCs w:val="20"/>
        </w:rPr>
      </w:pPr>
    </w:p>
    <w:p w14:paraId="1AABBC6B"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8240" behindDoc="0" locked="0" layoutInCell="1" allowOverlap="1" wp14:anchorId="7865EEEA" wp14:editId="798B705B">
            <wp:simplePos x="0" y="0"/>
            <wp:positionH relativeFrom="column">
              <wp:posOffset>234315</wp:posOffset>
            </wp:positionH>
            <wp:positionV relativeFrom="paragraph">
              <wp:posOffset>31115</wp:posOffset>
            </wp:positionV>
            <wp:extent cx="1867535" cy="13233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1022-1.jpg"/>
                    <pic:cNvPicPr/>
                  </pic:nvPicPr>
                  <pic:blipFill rotWithShape="1">
                    <a:blip r:embed="rId10">
                      <a:extLst>
                        <a:ext uri="{28A0092B-C50C-407E-A947-70E740481C1C}">
                          <a14:useLocalDpi xmlns:a14="http://schemas.microsoft.com/office/drawing/2010/main" val="0"/>
                        </a:ext>
                      </a:extLst>
                    </a:blip>
                    <a:srcRect t="11345" b="13576"/>
                    <a:stretch/>
                  </pic:blipFill>
                  <pic:spPr bwMode="auto">
                    <a:xfrm>
                      <a:off x="0" y="0"/>
                      <a:ext cx="1867535" cy="1323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681DED" w14:textId="77777777" w:rsidR="0044530C" w:rsidRDefault="0044530C" w:rsidP="00A56E64">
      <w:pPr>
        <w:suppressLineNumbers/>
        <w:rPr>
          <w:rFonts w:ascii="Arial" w:hAnsi="Arial" w:cs="Arial"/>
          <w:sz w:val="20"/>
          <w:szCs w:val="20"/>
        </w:rPr>
      </w:pPr>
    </w:p>
    <w:p w14:paraId="3A50EAC2" w14:textId="77777777" w:rsidR="0044530C" w:rsidRDefault="0044530C" w:rsidP="00A56E64">
      <w:pPr>
        <w:suppressLineNumbers/>
        <w:rPr>
          <w:rFonts w:ascii="Arial" w:hAnsi="Arial" w:cs="Arial"/>
          <w:sz w:val="20"/>
          <w:szCs w:val="20"/>
        </w:rPr>
      </w:pPr>
    </w:p>
    <w:p w14:paraId="4D4AF043" w14:textId="77777777" w:rsidR="0044530C" w:rsidRDefault="0044530C" w:rsidP="00A56E64">
      <w:pPr>
        <w:suppressLineNumbers/>
        <w:rPr>
          <w:rFonts w:ascii="Arial" w:hAnsi="Arial" w:cs="Arial"/>
          <w:sz w:val="20"/>
          <w:szCs w:val="20"/>
        </w:rPr>
      </w:pPr>
    </w:p>
    <w:p w14:paraId="4EF027BC" w14:textId="77777777" w:rsidR="0044530C" w:rsidRDefault="0044530C" w:rsidP="00A56E64">
      <w:pPr>
        <w:suppressLineNumbers/>
        <w:rPr>
          <w:rFonts w:ascii="Arial" w:hAnsi="Arial" w:cs="Arial"/>
          <w:sz w:val="20"/>
          <w:szCs w:val="20"/>
        </w:rPr>
      </w:pPr>
    </w:p>
    <w:p w14:paraId="6E3138A0" w14:textId="77777777" w:rsidR="0044530C" w:rsidRDefault="0044530C" w:rsidP="00A56E64">
      <w:pPr>
        <w:suppressLineNumbers/>
        <w:rPr>
          <w:rFonts w:ascii="Arial" w:hAnsi="Arial" w:cs="Arial"/>
          <w:sz w:val="20"/>
          <w:szCs w:val="20"/>
        </w:rPr>
      </w:pPr>
    </w:p>
    <w:p w14:paraId="71565074" w14:textId="77777777" w:rsidR="0044530C" w:rsidRDefault="0044530C" w:rsidP="00A56E64">
      <w:pPr>
        <w:suppressLineNumbers/>
        <w:rPr>
          <w:rFonts w:ascii="Arial" w:hAnsi="Arial" w:cs="Arial"/>
          <w:sz w:val="20"/>
          <w:szCs w:val="20"/>
        </w:rPr>
      </w:pPr>
    </w:p>
    <w:p w14:paraId="17595593" w14:textId="77777777" w:rsidR="0044530C" w:rsidRDefault="0044530C" w:rsidP="00A56E64">
      <w:pPr>
        <w:suppressLineNumbers/>
        <w:rPr>
          <w:rFonts w:ascii="Arial" w:hAnsi="Arial" w:cs="Arial"/>
          <w:sz w:val="20"/>
          <w:szCs w:val="20"/>
        </w:rPr>
      </w:pPr>
    </w:p>
    <w:p w14:paraId="59349D60" w14:textId="77777777" w:rsidR="0044530C" w:rsidRDefault="0044530C" w:rsidP="00A56E64">
      <w:pPr>
        <w:suppressLineNumbers/>
        <w:rPr>
          <w:rFonts w:ascii="Arial" w:hAnsi="Arial" w:cs="Arial"/>
          <w:sz w:val="20"/>
          <w:szCs w:val="20"/>
        </w:rPr>
      </w:pPr>
    </w:p>
    <w:p w14:paraId="528655D3" w14:textId="77777777" w:rsidR="0044530C" w:rsidRDefault="0044530C" w:rsidP="00A56E64">
      <w:pPr>
        <w:suppressLineNumbers/>
        <w:rPr>
          <w:rFonts w:ascii="Arial" w:hAnsi="Arial" w:cs="Arial"/>
          <w:sz w:val="20"/>
          <w:szCs w:val="20"/>
        </w:rPr>
      </w:pPr>
    </w:p>
    <w:p w14:paraId="0697535A" w14:textId="77777777" w:rsidR="0044530C" w:rsidRDefault="0044530C" w:rsidP="00A56E64">
      <w:pPr>
        <w:suppressLineNumbers/>
        <w:rPr>
          <w:rFonts w:ascii="Arial" w:hAnsi="Arial" w:cs="Arial"/>
          <w:sz w:val="20"/>
          <w:szCs w:val="20"/>
        </w:rPr>
      </w:pPr>
    </w:p>
    <w:p w14:paraId="7665530C" w14:textId="77777777" w:rsidR="0044530C" w:rsidRDefault="0044530C" w:rsidP="00A56E64">
      <w:pPr>
        <w:suppressLineNumbers/>
        <w:rPr>
          <w:rFonts w:ascii="Arial" w:hAnsi="Arial" w:cs="Arial"/>
          <w:sz w:val="20"/>
          <w:szCs w:val="20"/>
        </w:rPr>
      </w:pPr>
      <w:r>
        <w:rPr>
          <w:rFonts w:ascii="Arial" w:hAnsi="Arial"/>
          <w:sz w:val="20"/>
        </w:rPr>
        <w:t>Photo 3 : Le nouveau tour multibroches INDEX MS24-6 est synonyme de productivité maximale et d’équipement rapide avec le nouveau système de changement d’outils rapide d’INDEX</w:t>
      </w:r>
    </w:p>
    <w:p w14:paraId="282FEBC5"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60288" behindDoc="0" locked="0" layoutInCell="1" allowOverlap="1" wp14:anchorId="75623BE1" wp14:editId="54A02B6F">
            <wp:simplePos x="0" y="0"/>
            <wp:positionH relativeFrom="margin">
              <wp:posOffset>272415</wp:posOffset>
            </wp:positionH>
            <wp:positionV relativeFrom="paragraph">
              <wp:posOffset>120015</wp:posOffset>
            </wp:positionV>
            <wp:extent cx="2019300" cy="156972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s24-6_101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19300" cy="1569720"/>
                    </a:xfrm>
                    <a:prstGeom prst="rect">
                      <a:avLst/>
                    </a:prstGeom>
                  </pic:spPr>
                </pic:pic>
              </a:graphicData>
            </a:graphic>
            <wp14:sizeRelH relativeFrom="page">
              <wp14:pctWidth>0</wp14:pctWidth>
            </wp14:sizeRelH>
            <wp14:sizeRelV relativeFrom="page">
              <wp14:pctHeight>0</wp14:pctHeight>
            </wp14:sizeRelV>
          </wp:anchor>
        </w:drawing>
      </w:r>
    </w:p>
    <w:p w14:paraId="5174BA82" w14:textId="77777777" w:rsidR="0044530C" w:rsidRDefault="0044530C" w:rsidP="00A56E64">
      <w:pPr>
        <w:suppressLineNumbers/>
        <w:rPr>
          <w:rFonts w:ascii="Arial" w:hAnsi="Arial" w:cs="Arial"/>
          <w:sz w:val="20"/>
          <w:szCs w:val="20"/>
        </w:rPr>
      </w:pPr>
    </w:p>
    <w:p w14:paraId="0623F42F" w14:textId="77777777" w:rsidR="0044530C" w:rsidRDefault="0044530C" w:rsidP="00A56E64">
      <w:pPr>
        <w:suppressLineNumbers/>
        <w:rPr>
          <w:rFonts w:ascii="Arial" w:hAnsi="Arial" w:cs="Arial"/>
          <w:sz w:val="20"/>
          <w:szCs w:val="20"/>
        </w:rPr>
      </w:pPr>
    </w:p>
    <w:p w14:paraId="2C5B5238" w14:textId="77777777" w:rsidR="0044530C" w:rsidRDefault="0044530C" w:rsidP="00A56E64">
      <w:pPr>
        <w:suppressLineNumbers/>
        <w:rPr>
          <w:rFonts w:ascii="Arial" w:hAnsi="Arial" w:cs="Arial"/>
          <w:sz w:val="20"/>
          <w:szCs w:val="20"/>
        </w:rPr>
      </w:pPr>
    </w:p>
    <w:p w14:paraId="466DE916" w14:textId="77777777" w:rsidR="0044530C" w:rsidRDefault="0044530C" w:rsidP="00A56E64">
      <w:pPr>
        <w:suppressLineNumbers/>
        <w:rPr>
          <w:rFonts w:ascii="Arial" w:hAnsi="Arial" w:cs="Arial"/>
          <w:sz w:val="20"/>
          <w:szCs w:val="20"/>
        </w:rPr>
      </w:pPr>
    </w:p>
    <w:p w14:paraId="0193DA6C" w14:textId="77777777" w:rsidR="0044530C" w:rsidRDefault="0044530C" w:rsidP="00A56E64">
      <w:pPr>
        <w:suppressLineNumbers/>
        <w:rPr>
          <w:rFonts w:ascii="Arial" w:hAnsi="Arial" w:cs="Arial"/>
          <w:sz w:val="20"/>
          <w:szCs w:val="20"/>
        </w:rPr>
      </w:pPr>
    </w:p>
    <w:p w14:paraId="202F0427" w14:textId="77777777" w:rsidR="0044530C" w:rsidRDefault="0044530C" w:rsidP="00A56E64">
      <w:pPr>
        <w:suppressLineNumbers/>
        <w:rPr>
          <w:rFonts w:ascii="Arial" w:hAnsi="Arial" w:cs="Arial"/>
          <w:sz w:val="20"/>
          <w:szCs w:val="20"/>
        </w:rPr>
      </w:pPr>
    </w:p>
    <w:p w14:paraId="46BF185F" w14:textId="77777777" w:rsidR="0044530C" w:rsidRDefault="0044530C" w:rsidP="00A56E64">
      <w:pPr>
        <w:suppressLineNumbers/>
        <w:rPr>
          <w:rFonts w:ascii="Arial" w:hAnsi="Arial" w:cs="Arial"/>
          <w:sz w:val="20"/>
          <w:szCs w:val="20"/>
        </w:rPr>
      </w:pPr>
    </w:p>
    <w:p w14:paraId="2C16CF70" w14:textId="77777777" w:rsidR="0044530C" w:rsidRDefault="0044530C" w:rsidP="00A56E64">
      <w:pPr>
        <w:suppressLineNumbers/>
        <w:rPr>
          <w:rFonts w:ascii="Arial" w:hAnsi="Arial" w:cs="Arial"/>
          <w:sz w:val="20"/>
          <w:szCs w:val="20"/>
        </w:rPr>
      </w:pPr>
    </w:p>
    <w:p w14:paraId="0220D275" w14:textId="77777777" w:rsidR="0044530C" w:rsidRDefault="0044530C" w:rsidP="00A56E64">
      <w:pPr>
        <w:suppressLineNumbers/>
        <w:rPr>
          <w:rFonts w:ascii="Arial" w:hAnsi="Arial" w:cs="Arial"/>
          <w:sz w:val="20"/>
          <w:szCs w:val="20"/>
        </w:rPr>
      </w:pPr>
    </w:p>
    <w:p w14:paraId="40369304" w14:textId="77777777" w:rsidR="0044530C" w:rsidRDefault="0044530C" w:rsidP="00A56E64">
      <w:pPr>
        <w:suppressLineNumbers/>
        <w:rPr>
          <w:rFonts w:ascii="Arial" w:hAnsi="Arial" w:cs="Arial"/>
          <w:sz w:val="20"/>
          <w:szCs w:val="20"/>
        </w:rPr>
      </w:pPr>
    </w:p>
    <w:p w14:paraId="08B2E95C" w14:textId="77777777" w:rsidR="0044530C" w:rsidRDefault="0044530C" w:rsidP="00A56E64">
      <w:pPr>
        <w:suppressLineNumbers/>
        <w:rPr>
          <w:rFonts w:ascii="Arial" w:hAnsi="Arial" w:cs="Arial"/>
          <w:sz w:val="20"/>
          <w:szCs w:val="20"/>
        </w:rPr>
      </w:pPr>
    </w:p>
    <w:p w14:paraId="52AF1DED" w14:textId="4D47891B" w:rsidR="00E931A6" w:rsidRDefault="00E931A6" w:rsidP="00E931A6">
      <w:pPr>
        <w:spacing w:after="200" w:line="360" w:lineRule="auto"/>
        <w:jc w:val="both"/>
        <w:rPr>
          <w:rFonts w:ascii="Arial" w:hAnsi="Arial" w:cs="Arial"/>
          <w:sz w:val="20"/>
          <w:szCs w:val="20"/>
        </w:rPr>
      </w:pPr>
      <w:r>
        <w:rPr>
          <w:rFonts w:ascii="Arial" w:hAnsi="Arial"/>
          <w:noProof/>
          <w:sz w:val="20"/>
          <w:lang w:val="de-DE" w:eastAsia="zh-CN"/>
        </w:rPr>
        <w:drawing>
          <wp:anchor distT="0" distB="0" distL="114300" distR="114300" simplePos="0" relativeHeight="251661312" behindDoc="0" locked="0" layoutInCell="1" allowOverlap="1" wp14:anchorId="1FAF358A" wp14:editId="1FA5BE69">
            <wp:simplePos x="0" y="0"/>
            <wp:positionH relativeFrom="column">
              <wp:posOffset>491490</wp:posOffset>
            </wp:positionH>
            <wp:positionV relativeFrom="paragraph">
              <wp:posOffset>436880</wp:posOffset>
            </wp:positionV>
            <wp:extent cx="1628775" cy="1397369"/>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l12_100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8775" cy="1397369"/>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Photo 4</w:t>
      </w:r>
      <w:r w:rsidR="004C0D1B">
        <w:rPr>
          <w:rFonts w:ascii="Arial" w:hAnsi="Arial"/>
          <w:sz w:val="20"/>
        </w:rPr>
        <w:t> </w:t>
      </w:r>
      <w:r>
        <w:rPr>
          <w:rFonts w:ascii="Arial" w:hAnsi="Arial"/>
          <w:sz w:val="20"/>
        </w:rPr>
        <w:t>: Plus de productivité et de polyvalence avec le même encombrement réduit avec le nouveau modèle TRAUB TNL 12</w:t>
      </w:r>
    </w:p>
    <w:p w14:paraId="231BED15" w14:textId="77777777" w:rsidR="0044530C" w:rsidRPr="00A56E64" w:rsidRDefault="0044530C" w:rsidP="00A56E64">
      <w:pPr>
        <w:suppressLineNumbers/>
        <w:rPr>
          <w:rFonts w:ascii="Arial" w:hAnsi="Arial" w:cs="Arial"/>
          <w:sz w:val="20"/>
          <w:szCs w:val="20"/>
        </w:rPr>
      </w:pPr>
    </w:p>
    <w:sectPr w:rsidR="0044530C" w:rsidRPr="00A56E64" w:rsidSect="00E84366">
      <w:headerReference w:type="default" r:id="rId13"/>
      <w:footerReference w:type="default" r:id="rId14"/>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905DD" w14:textId="77777777" w:rsidR="0064334D" w:rsidRDefault="0064334D">
      <w:r>
        <w:separator/>
      </w:r>
    </w:p>
  </w:endnote>
  <w:endnote w:type="continuationSeparator" w:id="0">
    <w:p w14:paraId="7DFBF653" w14:textId="77777777" w:rsidR="0064334D" w:rsidRDefault="0064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66A4D" w14:textId="39FE3DE9"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A94F2E">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A94F2E">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67C5D" w14:textId="77777777" w:rsidR="0064334D" w:rsidRDefault="0064334D">
      <w:r>
        <w:separator/>
      </w:r>
    </w:p>
  </w:footnote>
  <w:footnote w:type="continuationSeparator" w:id="0">
    <w:p w14:paraId="799F83DF" w14:textId="77777777" w:rsidR="0064334D" w:rsidRDefault="0064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6B9C8" w14:textId="77777777" w:rsidR="00F76584" w:rsidRPr="003D200C" w:rsidRDefault="00F76584" w:rsidP="003A57C5">
    <w:pPr>
      <w:pStyle w:val="Kopfzeile"/>
      <w:tabs>
        <w:tab w:val="clear" w:pos="9072"/>
        <w:tab w:val="right" w:pos="9360"/>
      </w:tabs>
      <w:ind w:left="7799"/>
    </w:pPr>
    <w:r>
      <w:tab/>
    </w:r>
    <w:r>
      <w:rPr>
        <w:noProof/>
        <w:lang w:val="de-DE" w:eastAsia="zh-CN"/>
      </w:rPr>
      <w:drawing>
        <wp:inline distT="0" distB="0" distL="0" distR="0" wp14:anchorId="2217302D" wp14:editId="6E9FF7C6">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A21F73D"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5416A0DF" w14:textId="77777777" w:rsidR="008C66BE" w:rsidRPr="00341138" w:rsidRDefault="00424CD1" w:rsidP="003A57C5">
    <w:pPr>
      <w:pStyle w:val="Kopfzeile"/>
      <w:tabs>
        <w:tab w:val="clear" w:pos="4536"/>
        <w:tab w:val="clear" w:pos="9072"/>
      </w:tabs>
      <w:ind w:left="7549" w:right="-1560" w:firstLine="250"/>
      <w:rPr>
        <w:rFonts w:ascii="Arial" w:hAnsi="Arial" w:cs="Arial"/>
        <w:sz w:val="16"/>
      </w:rPr>
    </w:pPr>
    <w:bookmarkStart w:id="1" w:name="_Hlk76130212"/>
    <w:r>
      <w:rPr>
        <w:rFonts w:ascii="Arial" w:hAnsi="Arial"/>
        <w:sz w:val="16"/>
      </w:rPr>
      <w:t>Aperçu EMO 2021</w:t>
    </w:r>
  </w:p>
  <w:bookmarkEnd w:id="1"/>
  <w:p w14:paraId="03267052" w14:textId="77777777" w:rsidR="00467F33" w:rsidRPr="00341138"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07/21</w:t>
    </w:r>
  </w:p>
  <w:p w14:paraId="74AF9D14" w14:textId="77777777" w:rsidR="00F76584" w:rsidRPr="00341138" w:rsidRDefault="00F76584" w:rsidP="00AE64C2">
    <w:pPr>
      <w:pStyle w:val="Kopfzeile"/>
      <w:tabs>
        <w:tab w:val="clear" w:pos="4536"/>
        <w:tab w:val="clear" w:pos="9072"/>
      </w:tabs>
      <w:ind w:left="6840"/>
      <w:jc w:val="right"/>
      <w:rPr>
        <w:rFonts w:ascii="Arial" w:hAnsi="Arial" w:cs="Arial"/>
        <w:sz w:val="16"/>
      </w:rPr>
    </w:pPr>
  </w:p>
  <w:p w14:paraId="1029F751"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13608"/>
    <w:rsid w:val="000145DC"/>
    <w:rsid w:val="000223C7"/>
    <w:rsid w:val="00023128"/>
    <w:rsid w:val="0002718C"/>
    <w:rsid w:val="000330EB"/>
    <w:rsid w:val="00033FAB"/>
    <w:rsid w:val="00037DD6"/>
    <w:rsid w:val="000417E2"/>
    <w:rsid w:val="00042DA3"/>
    <w:rsid w:val="00046FB5"/>
    <w:rsid w:val="00065DD2"/>
    <w:rsid w:val="00084010"/>
    <w:rsid w:val="00092A02"/>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C7747"/>
    <w:rsid w:val="001E05DD"/>
    <w:rsid w:val="001E1539"/>
    <w:rsid w:val="00201559"/>
    <w:rsid w:val="00207497"/>
    <w:rsid w:val="00207885"/>
    <w:rsid w:val="00211AF2"/>
    <w:rsid w:val="00212595"/>
    <w:rsid w:val="002208C9"/>
    <w:rsid w:val="002213FD"/>
    <w:rsid w:val="00221ECE"/>
    <w:rsid w:val="00224559"/>
    <w:rsid w:val="00225696"/>
    <w:rsid w:val="0022706E"/>
    <w:rsid w:val="00235ED6"/>
    <w:rsid w:val="002361B1"/>
    <w:rsid w:val="002504F7"/>
    <w:rsid w:val="002508F8"/>
    <w:rsid w:val="00252394"/>
    <w:rsid w:val="00256000"/>
    <w:rsid w:val="00261CB4"/>
    <w:rsid w:val="00262014"/>
    <w:rsid w:val="00262D8D"/>
    <w:rsid w:val="0026448E"/>
    <w:rsid w:val="00267FDD"/>
    <w:rsid w:val="0027071B"/>
    <w:rsid w:val="00270ADC"/>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30503"/>
    <w:rsid w:val="00334401"/>
    <w:rsid w:val="00341138"/>
    <w:rsid w:val="0034618A"/>
    <w:rsid w:val="00350072"/>
    <w:rsid w:val="00353117"/>
    <w:rsid w:val="00360228"/>
    <w:rsid w:val="00360722"/>
    <w:rsid w:val="003621C8"/>
    <w:rsid w:val="0036385F"/>
    <w:rsid w:val="0036726E"/>
    <w:rsid w:val="00367F5D"/>
    <w:rsid w:val="00371478"/>
    <w:rsid w:val="0037311D"/>
    <w:rsid w:val="0037625A"/>
    <w:rsid w:val="00377560"/>
    <w:rsid w:val="0037788C"/>
    <w:rsid w:val="00377F47"/>
    <w:rsid w:val="00381EF9"/>
    <w:rsid w:val="003924B0"/>
    <w:rsid w:val="003925A8"/>
    <w:rsid w:val="00394986"/>
    <w:rsid w:val="003957DE"/>
    <w:rsid w:val="00395A28"/>
    <w:rsid w:val="00397A76"/>
    <w:rsid w:val="003A57C5"/>
    <w:rsid w:val="003A7C1B"/>
    <w:rsid w:val="003B0528"/>
    <w:rsid w:val="003B0F98"/>
    <w:rsid w:val="003B5BA9"/>
    <w:rsid w:val="003D44D2"/>
    <w:rsid w:val="003E4D2B"/>
    <w:rsid w:val="003E5584"/>
    <w:rsid w:val="003F60D2"/>
    <w:rsid w:val="00406AB0"/>
    <w:rsid w:val="00414CF2"/>
    <w:rsid w:val="00415A87"/>
    <w:rsid w:val="00415D03"/>
    <w:rsid w:val="004204C8"/>
    <w:rsid w:val="00422AE3"/>
    <w:rsid w:val="00424CD1"/>
    <w:rsid w:val="00424E75"/>
    <w:rsid w:val="00426195"/>
    <w:rsid w:val="0043001E"/>
    <w:rsid w:val="00432DD2"/>
    <w:rsid w:val="00433009"/>
    <w:rsid w:val="00443DDF"/>
    <w:rsid w:val="0044530C"/>
    <w:rsid w:val="00446750"/>
    <w:rsid w:val="00447215"/>
    <w:rsid w:val="00455D3B"/>
    <w:rsid w:val="00460631"/>
    <w:rsid w:val="00463DF5"/>
    <w:rsid w:val="00467F33"/>
    <w:rsid w:val="004720E4"/>
    <w:rsid w:val="0047346F"/>
    <w:rsid w:val="00476642"/>
    <w:rsid w:val="004804E4"/>
    <w:rsid w:val="00480651"/>
    <w:rsid w:val="00481A92"/>
    <w:rsid w:val="0048614F"/>
    <w:rsid w:val="00496CE2"/>
    <w:rsid w:val="004A094C"/>
    <w:rsid w:val="004A2FB6"/>
    <w:rsid w:val="004A3D18"/>
    <w:rsid w:val="004A49E6"/>
    <w:rsid w:val="004A729F"/>
    <w:rsid w:val="004B2855"/>
    <w:rsid w:val="004B4C43"/>
    <w:rsid w:val="004B5958"/>
    <w:rsid w:val="004B5999"/>
    <w:rsid w:val="004B6991"/>
    <w:rsid w:val="004C0D1B"/>
    <w:rsid w:val="004C27C0"/>
    <w:rsid w:val="004C61DA"/>
    <w:rsid w:val="004D161C"/>
    <w:rsid w:val="004D5118"/>
    <w:rsid w:val="004D75BA"/>
    <w:rsid w:val="004E3D1C"/>
    <w:rsid w:val="004E6BF4"/>
    <w:rsid w:val="004F048C"/>
    <w:rsid w:val="004F741B"/>
    <w:rsid w:val="00501800"/>
    <w:rsid w:val="005042F8"/>
    <w:rsid w:val="00504380"/>
    <w:rsid w:val="005078DA"/>
    <w:rsid w:val="005112C4"/>
    <w:rsid w:val="00521067"/>
    <w:rsid w:val="00521CF6"/>
    <w:rsid w:val="0052567E"/>
    <w:rsid w:val="0053108F"/>
    <w:rsid w:val="0053423A"/>
    <w:rsid w:val="00543C7E"/>
    <w:rsid w:val="00544BB2"/>
    <w:rsid w:val="0055166D"/>
    <w:rsid w:val="005609F5"/>
    <w:rsid w:val="00562442"/>
    <w:rsid w:val="00566701"/>
    <w:rsid w:val="00573260"/>
    <w:rsid w:val="00573C44"/>
    <w:rsid w:val="005753FB"/>
    <w:rsid w:val="0057633A"/>
    <w:rsid w:val="00577F45"/>
    <w:rsid w:val="00581ADC"/>
    <w:rsid w:val="0058267C"/>
    <w:rsid w:val="00582EBE"/>
    <w:rsid w:val="005A48B3"/>
    <w:rsid w:val="005A7B39"/>
    <w:rsid w:val="005B0DF3"/>
    <w:rsid w:val="005C021E"/>
    <w:rsid w:val="005C6E5A"/>
    <w:rsid w:val="005C721F"/>
    <w:rsid w:val="005D014F"/>
    <w:rsid w:val="005D018C"/>
    <w:rsid w:val="005D5FB8"/>
    <w:rsid w:val="005D6589"/>
    <w:rsid w:val="005E00FA"/>
    <w:rsid w:val="005E29EC"/>
    <w:rsid w:val="005F036F"/>
    <w:rsid w:val="005F11E5"/>
    <w:rsid w:val="005F55FF"/>
    <w:rsid w:val="005F5611"/>
    <w:rsid w:val="005F7A16"/>
    <w:rsid w:val="0062379F"/>
    <w:rsid w:val="00627581"/>
    <w:rsid w:val="00630673"/>
    <w:rsid w:val="00637120"/>
    <w:rsid w:val="006425A7"/>
    <w:rsid w:val="0064334D"/>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32B4"/>
    <w:rsid w:val="006F7DCA"/>
    <w:rsid w:val="007073B1"/>
    <w:rsid w:val="0071341B"/>
    <w:rsid w:val="00713606"/>
    <w:rsid w:val="00717063"/>
    <w:rsid w:val="00717BFA"/>
    <w:rsid w:val="00727E85"/>
    <w:rsid w:val="00733B56"/>
    <w:rsid w:val="00734673"/>
    <w:rsid w:val="00740E7F"/>
    <w:rsid w:val="007435BA"/>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7F15E7"/>
    <w:rsid w:val="007F2E16"/>
    <w:rsid w:val="00800F22"/>
    <w:rsid w:val="0080270B"/>
    <w:rsid w:val="008036F7"/>
    <w:rsid w:val="00807CE8"/>
    <w:rsid w:val="00810088"/>
    <w:rsid w:val="00813110"/>
    <w:rsid w:val="008133B0"/>
    <w:rsid w:val="00815941"/>
    <w:rsid w:val="008177F0"/>
    <w:rsid w:val="008178F5"/>
    <w:rsid w:val="00836F98"/>
    <w:rsid w:val="00845508"/>
    <w:rsid w:val="00847216"/>
    <w:rsid w:val="00847D66"/>
    <w:rsid w:val="00851066"/>
    <w:rsid w:val="00853E22"/>
    <w:rsid w:val="0085749B"/>
    <w:rsid w:val="0086192A"/>
    <w:rsid w:val="0086295F"/>
    <w:rsid w:val="00863CDE"/>
    <w:rsid w:val="00867F14"/>
    <w:rsid w:val="00877CBA"/>
    <w:rsid w:val="008858D7"/>
    <w:rsid w:val="008A0474"/>
    <w:rsid w:val="008A3663"/>
    <w:rsid w:val="008B5385"/>
    <w:rsid w:val="008B58B8"/>
    <w:rsid w:val="008B765E"/>
    <w:rsid w:val="008B7D20"/>
    <w:rsid w:val="008C104C"/>
    <w:rsid w:val="008C3A38"/>
    <w:rsid w:val="008C4772"/>
    <w:rsid w:val="008C5E67"/>
    <w:rsid w:val="008C66BE"/>
    <w:rsid w:val="008D1A51"/>
    <w:rsid w:val="008D4F35"/>
    <w:rsid w:val="008D6EB5"/>
    <w:rsid w:val="008E1553"/>
    <w:rsid w:val="008E268C"/>
    <w:rsid w:val="008F1C00"/>
    <w:rsid w:val="00901621"/>
    <w:rsid w:val="00904D06"/>
    <w:rsid w:val="00904F52"/>
    <w:rsid w:val="0091190A"/>
    <w:rsid w:val="00917F2E"/>
    <w:rsid w:val="009218D6"/>
    <w:rsid w:val="00924588"/>
    <w:rsid w:val="00926B09"/>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A13F99"/>
    <w:rsid w:val="00A269CE"/>
    <w:rsid w:val="00A32630"/>
    <w:rsid w:val="00A358D5"/>
    <w:rsid w:val="00A37BBA"/>
    <w:rsid w:val="00A50F9C"/>
    <w:rsid w:val="00A56E64"/>
    <w:rsid w:val="00A662A5"/>
    <w:rsid w:val="00A70851"/>
    <w:rsid w:val="00A716C4"/>
    <w:rsid w:val="00A72BAE"/>
    <w:rsid w:val="00A73611"/>
    <w:rsid w:val="00A73987"/>
    <w:rsid w:val="00A769FD"/>
    <w:rsid w:val="00A7749A"/>
    <w:rsid w:val="00A812E4"/>
    <w:rsid w:val="00A81CD2"/>
    <w:rsid w:val="00A8325C"/>
    <w:rsid w:val="00A83A93"/>
    <w:rsid w:val="00A83F0A"/>
    <w:rsid w:val="00A84A49"/>
    <w:rsid w:val="00A90CAD"/>
    <w:rsid w:val="00A94162"/>
    <w:rsid w:val="00A94F2E"/>
    <w:rsid w:val="00A95DB7"/>
    <w:rsid w:val="00A96370"/>
    <w:rsid w:val="00AA49F6"/>
    <w:rsid w:val="00AA4DE4"/>
    <w:rsid w:val="00AB5101"/>
    <w:rsid w:val="00AC37E7"/>
    <w:rsid w:val="00AD1B3A"/>
    <w:rsid w:val="00AD5157"/>
    <w:rsid w:val="00AE1178"/>
    <w:rsid w:val="00AE220D"/>
    <w:rsid w:val="00AE64C2"/>
    <w:rsid w:val="00AF04B8"/>
    <w:rsid w:val="00B00B34"/>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76ED3"/>
    <w:rsid w:val="00B80843"/>
    <w:rsid w:val="00B87AC5"/>
    <w:rsid w:val="00B9037B"/>
    <w:rsid w:val="00BA4288"/>
    <w:rsid w:val="00BA57CA"/>
    <w:rsid w:val="00BA5C61"/>
    <w:rsid w:val="00BB2535"/>
    <w:rsid w:val="00BB3AEB"/>
    <w:rsid w:val="00BC50E3"/>
    <w:rsid w:val="00BD264F"/>
    <w:rsid w:val="00BD512C"/>
    <w:rsid w:val="00BE7797"/>
    <w:rsid w:val="00BE79B9"/>
    <w:rsid w:val="00BF127F"/>
    <w:rsid w:val="00BF5362"/>
    <w:rsid w:val="00BF7959"/>
    <w:rsid w:val="00C01B3B"/>
    <w:rsid w:val="00C01F56"/>
    <w:rsid w:val="00C0374E"/>
    <w:rsid w:val="00C06334"/>
    <w:rsid w:val="00C13822"/>
    <w:rsid w:val="00C154E1"/>
    <w:rsid w:val="00C205C7"/>
    <w:rsid w:val="00C26133"/>
    <w:rsid w:val="00C35B6D"/>
    <w:rsid w:val="00C460E5"/>
    <w:rsid w:val="00C52C2E"/>
    <w:rsid w:val="00C5688F"/>
    <w:rsid w:val="00C571F6"/>
    <w:rsid w:val="00C63FCB"/>
    <w:rsid w:val="00C71D48"/>
    <w:rsid w:val="00C76642"/>
    <w:rsid w:val="00C80D8C"/>
    <w:rsid w:val="00C921AF"/>
    <w:rsid w:val="00C96D56"/>
    <w:rsid w:val="00CA132B"/>
    <w:rsid w:val="00CA3275"/>
    <w:rsid w:val="00CB3691"/>
    <w:rsid w:val="00CB6480"/>
    <w:rsid w:val="00CC2163"/>
    <w:rsid w:val="00CC3F7A"/>
    <w:rsid w:val="00CC7AA6"/>
    <w:rsid w:val="00CD0992"/>
    <w:rsid w:val="00CD59EA"/>
    <w:rsid w:val="00CD6D21"/>
    <w:rsid w:val="00CE0DA3"/>
    <w:rsid w:val="00CE0F69"/>
    <w:rsid w:val="00CE3C6A"/>
    <w:rsid w:val="00CE4C4B"/>
    <w:rsid w:val="00CE5DA1"/>
    <w:rsid w:val="00CE6586"/>
    <w:rsid w:val="00CF725D"/>
    <w:rsid w:val="00D04BF0"/>
    <w:rsid w:val="00D15798"/>
    <w:rsid w:val="00D16F4D"/>
    <w:rsid w:val="00D222A0"/>
    <w:rsid w:val="00D23B95"/>
    <w:rsid w:val="00D25284"/>
    <w:rsid w:val="00D26A4B"/>
    <w:rsid w:val="00D2753C"/>
    <w:rsid w:val="00D30FCC"/>
    <w:rsid w:val="00D512FA"/>
    <w:rsid w:val="00D56971"/>
    <w:rsid w:val="00D5710F"/>
    <w:rsid w:val="00D7009F"/>
    <w:rsid w:val="00D70682"/>
    <w:rsid w:val="00D80C3D"/>
    <w:rsid w:val="00D82EFA"/>
    <w:rsid w:val="00D929B7"/>
    <w:rsid w:val="00D96A3F"/>
    <w:rsid w:val="00D96EF7"/>
    <w:rsid w:val="00DA105D"/>
    <w:rsid w:val="00DA2163"/>
    <w:rsid w:val="00DA3ABF"/>
    <w:rsid w:val="00DA4919"/>
    <w:rsid w:val="00DA4FD7"/>
    <w:rsid w:val="00DB20D7"/>
    <w:rsid w:val="00DB3BB2"/>
    <w:rsid w:val="00DB6DA3"/>
    <w:rsid w:val="00DC6E3B"/>
    <w:rsid w:val="00DD273B"/>
    <w:rsid w:val="00DE2001"/>
    <w:rsid w:val="00DF3149"/>
    <w:rsid w:val="00DF7098"/>
    <w:rsid w:val="00DF72D5"/>
    <w:rsid w:val="00E012F8"/>
    <w:rsid w:val="00E07D31"/>
    <w:rsid w:val="00E07DAF"/>
    <w:rsid w:val="00E1488A"/>
    <w:rsid w:val="00E148DF"/>
    <w:rsid w:val="00E17752"/>
    <w:rsid w:val="00E217FF"/>
    <w:rsid w:val="00E303AC"/>
    <w:rsid w:val="00E35A69"/>
    <w:rsid w:val="00E3784D"/>
    <w:rsid w:val="00E452AB"/>
    <w:rsid w:val="00E462F7"/>
    <w:rsid w:val="00E5370B"/>
    <w:rsid w:val="00E571FC"/>
    <w:rsid w:val="00E57B74"/>
    <w:rsid w:val="00E6620E"/>
    <w:rsid w:val="00E74DB2"/>
    <w:rsid w:val="00E82AA1"/>
    <w:rsid w:val="00E84366"/>
    <w:rsid w:val="00E905AC"/>
    <w:rsid w:val="00E931A6"/>
    <w:rsid w:val="00E93B26"/>
    <w:rsid w:val="00E94870"/>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16F5B"/>
    <w:rsid w:val="00F24B2A"/>
    <w:rsid w:val="00F26A5A"/>
    <w:rsid w:val="00F2707A"/>
    <w:rsid w:val="00F37509"/>
    <w:rsid w:val="00F3781E"/>
    <w:rsid w:val="00F45B27"/>
    <w:rsid w:val="00F46E77"/>
    <w:rsid w:val="00F47829"/>
    <w:rsid w:val="00F5103E"/>
    <w:rsid w:val="00F54CDB"/>
    <w:rsid w:val="00F551E6"/>
    <w:rsid w:val="00F71EDD"/>
    <w:rsid w:val="00F75C79"/>
    <w:rsid w:val="00F76584"/>
    <w:rsid w:val="00F76CA9"/>
    <w:rsid w:val="00F822B2"/>
    <w:rsid w:val="00F84604"/>
    <w:rsid w:val="00F851F5"/>
    <w:rsid w:val="00F9394B"/>
    <w:rsid w:val="00F969E1"/>
    <w:rsid w:val="00FA3C6D"/>
    <w:rsid w:val="00FA6635"/>
    <w:rsid w:val="00FB5DE6"/>
    <w:rsid w:val="00FB5E28"/>
    <w:rsid w:val="00FB740A"/>
    <w:rsid w:val="00FC429B"/>
    <w:rsid w:val="00FC78CF"/>
    <w:rsid w:val="00FD3F31"/>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19D496"/>
  <w15:docId w15:val="{904A60C0-479B-4BF1-A3D1-BE1371B0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customStyle="1" w:styleId="UnresolvedMention1">
    <w:name w:val="Unresolved Mention1"/>
    <w:basedOn w:val="Absatz-Standardschriftart"/>
    <w:uiPriority w:val="99"/>
    <w:semiHidden/>
    <w:unhideWhenUsed/>
    <w:rsid w:val="00A83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BAEE7-EFA4-4206-BCE0-770A5C7A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4234</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AB_INDEX_Vorbericht EMO 2021</vt:lpstr>
    </vt:vector>
  </TitlesOfParts>
  <Company>INDEX-Werke GmbH &amp; Co. KG</Company>
  <LinksUpToDate>false</LinksUpToDate>
  <CharactersWithSpaces>4897</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AB_INDEX_Vorbericht EMO 2021</dc:title>
  <dc:creator>INDEX-Werke GmbH &amp; Co. KG</dc:creator>
  <cp:lastModifiedBy>Gondek, Rainer</cp:lastModifiedBy>
  <cp:revision>2</cp:revision>
  <cp:lastPrinted>2021-07-29T06:22:00Z</cp:lastPrinted>
  <dcterms:created xsi:type="dcterms:W3CDTF">2021-07-30T09:54:00Z</dcterms:created>
  <dcterms:modified xsi:type="dcterms:W3CDTF">2021-07-30T09:54:00Z</dcterms:modified>
</cp:coreProperties>
</file>