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387AF3" w14:textId="2530AE43" w:rsidR="006E6820" w:rsidRPr="005F3DF5" w:rsidRDefault="00424CD1" w:rsidP="006D77BC">
      <w:pPr>
        <w:pStyle w:val="berschrift32"/>
        <w:suppressLineNumbers/>
        <w:shd w:val="clear" w:color="auto" w:fill="FFFFFF"/>
        <w:tabs>
          <w:tab w:val="left" w:pos="7740"/>
        </w:tabs>
        <w:spacing w:line="360" w:lineRule="auto"/>
        <w:rPr>
          <w:rFonts w:ascii="Arial" w:hAnsi="Arial" w:cs="Arial"/>
          <w:sz w:val="20"/>
          <w:szCs w:val="20"/>
        </w:rPr>
      </w:pPr>
      <w:r>
        <w:rPr>
          <w:rFonts w:ascii="Arial" w:hAnsi="Arial"/>
          <w:sz w:val="20"/>
        </w:rPr>
        <w:t xml:space="preserve">Press release dated July </w:t>
      </w:r>
      <w:r w:rsidR="00D63BBF">
        <w:rPr>
          <w:rFonts w:ascii="Arial" w:hAnsi="Arial"/>
          <w:sz w:val="20"/>
        </w:rPr>
        <w:t>24</w:t>
      </w:r>
      <w:r w:rsidR="00D63BBF" w:rsidRPr="00D63BBF">
        <w:rPr>
          <w:rFonts w:ascii="Arial" w:hAnsi="Arial"/>
          <w:sz w:val="20"/>
          <w:vertAlign w:val="superscript"/>
        </w:rPr>
        <w:t>th</w:t>
      </w:r>
      <w:r w:rsidR="00D63BBF">
        <w:rPr>
          <w:rFonts w:ascii="Arial" w:hAnsi="Arial"/>
          <w:sz w:val="20"/>
        </w:rPr>
        <w:t xml:space="preserve">, </w:t>
      </w:r>
      <w:r>
        <w:rPr>
          <w:rFonts w:ascii="Arial" w:hAnsi="Arial"/>
          <w:sz w:val="20"/>
        </w:rPr>
        <w:t>2026</w:t>
      </w:r>
    </w:p>
    <w:p w14:paraId="0AD19273" w14:textId="77777777" w:rsidR="006E6820" w:rsidRPr="00422AE3" w:rsidRDefault="006E6820" w:rsidP="006D77BC">
      <w:pPr>
        <w:suppressLineNumbers/>
        <w:outlineLvl w:val="0"/>
        <w:rPr>
          <w:rFonts w:ascii="Arial" w:hAnsi="Arial" w:cs="Arial"/>
          <w:sz w:val="20"/>
          <w:szCs w:val="20"/>
        </w:rPr>
      </w:pPr>
    </w:p>
    <w:p w14:paraId="24EBF4E9" w14:textId="45832562" w:rsidR="00A8325C" w:rsidRPr="005F3DF5" w:rsidRDefault="00424CD1" w:rsidP="005F3DF5">
      <w:pPr>
        <w:pStyle w:val="berschrift32"/>
        <w:suppressLineNumbers/>
        <w:shd w:val="clear" w:color="auto" w:fill="FFFFFF"/>
        <w:tabs>
          <w:tab w:val="left" w:pos="7740"/>
        </w:tabs>
        <w:spacing w:line="360" w:lineRule="auto"/>
        <w:rPr>
          <w:rFonts w:ascii="Arial" w:hAnsi="Arial" w:cs="Arial"/>
          <w:color w:val="auto"/>
          <w:sz w:val="24"/>
          <w:szCs w:val="24"/>
        </w:rPr>
      </w:pPr>
      <w:r>
        <w:rPr>
          <w:rFonts w:ascii="Arial" w:hAnsi="Arial"/>
          <w:color w:val="auto"/>
          <w:sz w:val="24"/>
        </w:rPr>
        <w:t>INDEX at AMB 2026 (</w:t>
      </w:r>
      <w:bookmarkStart w:id="0" w:name="_Hlk167865797"/>
      <w:r>
        <w:rPr>
          <w:rFonts w:ascii="Arial" w:hAnsi="Arial"/>
          <w:color w:val="auto"/>
          <w:sz w:val="24"/>
        </w:rPr>
        <w:t>Hall 4, 4B3</w:t>
      </w:r>
      <w:bookmarkEnd w:id="0"/>
      <w:r>
        <w:rPr>
          <w:rFonts w:ascii="Arial" w:hAnsi="Arial"/>
          <w:color w:val="auto"/>
          <w:sz w:val="24"/>
        </w:rPr>
        <w:t>1)</w:t>
      </w:r>
    </w:p>
    <w:p w14:paraId="0B1F4BCA" w14:textId="14C10D67" w:rsidR="00415D03" w:rsidRPr="005F3DF5" w:rsidRDefault="002C4493" w:rsidP="006D77BC">
      <w:pPr>
        <w:pStyle w:val="berschrift32"/>
        <w:suppressLineNumbers/>
        <w:shd w:val="clear" w:color="auto" w:fill="FFFFFF"/>
        <w:tabs>
          <w:tab w:val="left" w:pos="7740"/>
        </w:tabs>
        <w:spacing w:after="200" w:line="360" w:lineRule="auto"/>
        <w:rPr>
          <w:rFonts w:ascii="Arial" w:hAnsi="Arial" w:cs="Arial"/>
          <w:bCs w:val="0"/>
          <w:spacing w:val="-2"/>
          <w:sz w:val="32"/>
          <w:szCs w:val="32"/>
        </w:rPr>
      </w:pPr>
      <w:r>
        <w:rPr>
          <w:rFonts w:ascii="Arial" w:hAnsi="Arial"/>
          <w:sz w:val="32"/>
        </w:rPr>
        <w:t>Boost productivity. Reduce costs.</w:t>
      </w:r>
    </w:p>
    <w:p w14:paraId="7D517738" w14:textId="629547CF" w:rsidR="002C4493" w:rsidRDefault="00662111" w:rsidP="005F3DF5">
      <w:pPr>
        <w:spacing w:after="360" w:line="360" w:lineRule="auto"/>
        <w:rPr>
          <w:rFonts w:ascii="Arial" w:eastAsiaTheme="minorHAnsi" w:hAnsi="Arial" w:cs="Arial"/>
          <w:b/>
          <w:sz w:val="20"/>
          <w:szCs w:val="20"/>
        </w:rPr>
      </w:pPr>
      <w:r>
        <w:rPr>
          <w:rFonts w:ascii="Arial" w:hAnsi="Arial"/>
          <w:b/>
          <w:sz w:val="20"/>
        </w:rPr>
        <w:t xml:space="preserve">At Booth 4B31 in Hall 4, INDEX will demonstrate how its latest turn-mill centers, multi-spindle turning machines, production turning machines, and automation solutions can help manufacturers boost productivity. The company will also present cost-effective entry-level versions of its machines and robot </w:t>
      </w:r>
      <w:proofErr w:type="gramStart"/>
      <w:r>
        <w:rPr>
          <w:rFonts w:ascii="Arial" w:hAnsi="Arial"/>
          <w:b/>
          <w:sz w:val="20"/>
        </w:rPr>
        <w:t>cell</w:t>
      </w:r>
      <w:proofErr w:type="gramEnd"/>
      <w:r>
        <w:rPr>
          <w:rFonts w:ascii="Arial" w:hAnsi="Arial"/>
          <w:b/>
          <w:sz w:val="20"/>
        </w:rPr>
        <w:t xml:space="preserve"> that deliver 100% INDEX quality despite their streamlined technical specifications. </w:t>
      </w:r>
    </w:p>
    <w:p w14:paraId="6AB10ABE" w14:textId="562BFCD0" w:rsidR="00147DD6" w:rsidRDefault="00CE5A6A" w:rsidP="006D77BC">
      <w:pPr>
        <w:spacing w:after="200" w:line="360" w:lineRule="auto"/>
        <w:rPr>
          <w:rFonts w:ascii="Arial" w:eastAsiaTheme="minorHAnsi" w:hAnsi="Arial" w:cs="Arial"/>
          <w:sz w:val="20"/>
          <w:szCs w:val="20"/>
        </w:rPr>
      </w:pPr>
      <w:r>
        <w:rPr>
          <w:rFonts w:ascii="Arial" w:hAnsi="Arial"/>
          <w:sz w:val="20"/>
        </w:rPr>
        <w:t xml:space="preserve">Long a major trend: complete machining with powerful turn-mill centers. At AMB 2026, the Esslingen-based machine tool manufacturer will introduce its new </w:t>
      </w:r>
      <w:r>
        <w:rPr>
          <w:rFonts w:ascii="Arial" w:hAnsi="Arial"/>
          <w:b/>
          <w:sz w:val="20"/>
        </w:rPr>
        <w:t>INDEX G160 turn-mill center</w:t>
      </w:r>
      <w:r>
        <w:rPr>
          <w:rFonts w:ascii="Arial" w:hAnsi="Arial"/>
          <w:sz w:val="20"/>
        </w:rPr>
        <w:t xml:space="preserve">, expanding the current G-series with a smaller model. Also on display will be the </w:t>
      </w:r>
      <w:r>
        <w:rPr>
          <w:rFonts w:ascii="Arial" w:hAnsi="Arial"/>
          <w:b/>
          <w:sz w:val="20"/>
        </w:rPr>
        <w:t>TRAUB TNX160</w:t>
      </w:r>
      <w:r>
        <w:rPr>
          <w:rFonts w:ascii="Arial" w:hAnsi="Arial"/>
          <w:sz w:val="20"/>
        </w:rPr>
        <w:t xml:space="preserve">, which is essentially identical in design. The key difference lies in the control system: While the INDEX G160 is equipped with a Siemens </w:t>
      </w:r>
      <w:proofErr w:type="spellStart"/>
      <w:r>
        <w:rPr>
          <w:rFonts w:ascii="Arial" w:hAnsi="Arial"/>
          <w:sz w:val="20"/>
        </w:rPr>
        <w:t>Sinumerik</w:t>
      </w:r>
      <w:proofErr w:type="spellEnd"/>
      <w:r>
        <w:rPr>
          <w:rFonts w:ascii="Arial" w:hAnsi="Arial"/>
          <w:sz w:val="20"/>
        </w:rPr>
        <w:t xml:space="preserve"> ONE CNC, the TNX160 features the Mitsubishi-based TRAUB TX8i-s CNC.</w:t>
      </w:r>
    </w:p>
    <w:p w14:paraId="30F837F1" w14:textId="63DF5BA0" w:rsidR="000B0956" w:rsidRDefault="005F3DF5" w:rsidP="000B0956">
      <w:pPr>
        <w:spacing w:after="200" w:line="360" w:lineRule="auto"/>
        <w:rPr>
          <w:rFonts w:ascii="Arial" w:eastAsiaTheme="minorHAnsi" w:hAnsi="Arial" w:cs="Arial"/>
          <w:sz w:val="20"/>
          <w:szCs w:val="20"/>
        </w:rPr>
      </w:pPr>
      <w:r>
        <w:rPr>
          <w:rFonts w:ascii="Arial" w:hAnsi="Arial"/>
          <w:sz w:val="20"/>
        </w:rPr>
        <w:t>Both machines are based on the proven INDEX G200.2 platform and cover the same range of workpieces. Their defining feature is a high-performance motor milling spindle with Y- and B-axes that can perform machining operations at both the main and counter spindle. Both turn-mill centers also feature highly dynamic direct-drive main and counter spindles. Customers can choose between a version with 42 mm bar stock clearance—ideal for smaller, high-speed parts—and a higher-torque spindle with 65 mm clearance. The tool magazine accommodates 60 tools, or optionally 90, which are loaded into the milling spindle by a double gripper—an important feature for automated production.</w:t>
      </w:r>
    </w:p>
    <w:p w14:paraId="7D57B40A" w14:textId="5CD80C70" w:rsidR="00095F95" w:rsidRPr="00791CD6" w:rsidRDefault="00095F95" w:rsidP="00095F95">
      <w:pPr>
        <w:spacing w:after="200" w:line="360" w:lineRule="auto"/>
        <w:rPr>
          <w:rFonts w:ascii="Arial" w:eastAsiaTheme="minorHAnsi" w:hAnsi="Arial" w:cs="Arial"/>
          <w:b/>
          <w:sz w:val="20"/>
          <w:szCs w:val="20"/>
        </w:rPr>
      </w:pPr>
      <w:r>
        <w:rPr>
          <w:rFonts w:ascii="Arial" w:hAnsi="Arial"/>
          <w:b/>
          <w:sz w:val="20"/>
        </w:rPr>
        <w:t>Robot changes turret tools</w:t>
      </w:r>
    </w:p>
    <w:p w14:paraId="6C2FD9C0" w14:textId="1CB816D0" w:rsidR="00F640BD" w:rsidRDefault="00592320" w:rsidP="006D77BC">
      <w:pPr>
        <w:spacing w:after="200" w:line="360" w:lineRule="auto"/>
        <w:rPr>
          <w:rFonts w:ascii="Arial" w:eastAsiaTheme="minorHAnsi" w:hAnsi="Arial" w:cs="Arial"/>
          <w:sz w:val="20"/>
          <w:szCs w:val="20"/>
        </w:rPr>
      </w:pPr>
      <w:r>
        <w:rPr>
          <w:rFonts w:ascii="Arial" w:hAnsi="Arial"/>
          <w:sz w:val="20"/>
        </w:rPr>
        <w:t xml:space="preserve">Another member of the successful G-series on display is the </w:t>
      </w:r>
      <w:r>
        <w:rPr>
          <w:rFonts w:ascii="Arial" w:hAnsi="Arial"/>
          <w:b/>
          <w:sz w:val="20"/>
        </w:rPr>
        <w:t>INDEX G220</w:t>
      </w:r>
      <w:r>
        <w:rPr>
          <w:rFonts w:ascii="Arial" w:hAnsi="Arial"/>
          <w:sz w:val="20"/>
        </w:rPr>
        <w:t xml:space="preserve"> turn-mill center. However, visitors are likely to be especially drawn to the connected </w:t>
      </w:r>
      <w:proofErr w:type="spellStart"/>
      <w:r>
        <w:rPr>
          <w:rFonts w:ascii="Arial" w:hAnsi="Arial"/>
          <w:sz w:val="20"/>
        </w:rPr>
        <w:t>iXcenter</w:t>
      </w:r>
      <w:proofErr w:type="spellEnd"/>
      <w:r>
        <w:rPr>
          <w:rFonts w:ascii="Arial" w:hAnsi="Arial"/>
          <w:sz w:val="20"/>
        </w:rPr>
        <w:t xml:space="preserve"> L, which will be presented at the show as a cost-effective entry-level version with a safety fence. One of the highlights of this exhibit is the robot’s ability to perform </w:t>
      </w:r>
      <w:r>
        <w:rPr>
          <w:rFonts w:ascii="Arial" w:hAnsi="Arial"/>
          <w:b/>
          <w:sz w:val="20"/>
        </w:rPr>
        <w:t>automatic tool changes in the turret</w:t>
      </w:r>
      <w:r>
        <w:rPr>
          <w:rFonts w:ascii="Arial" w:hAnsi="Arial"/>
          <w:sz w:val="20"/>
        </w:rPr>
        <w:t>. The only requirement is that the turret’s VDI mounting be equipped with a straight or angled HSK base holder. INDEX specialists at the booth will explain why this is necessary and demonstrate how the tool changing process works in detail.</w:t>
      </w:r>
    </w:p>
    <w:p w14:paraId="5F5BF938" w14:textId="77777777" w:rsidR="00095F95" w:rsidRPr="00791CD6" w:rsidRDefault="00095F95" w:rsidP="00095F95">
      <w:pPr>
        <w:spacing w:after="200" w:line="360" w:lineRule="auto"/>
        <w:rPr>
          <w:rFonts w:ascii="Arial" w:eastAsiaTheme="minorHAnsi" w:hAnsi="Arial" w:cs="Arial"/>
          <w:b/>
          <w:sz w:val="20"/>
          <w:szCs w:val="20"/>
        </w:rPr>
      </w:pPr>
      <w:proofErr w:type="spellStart"/>
      <w:r>
        <w:rPr>
          <w:rFonts w:ascii="Arial" w:hAnsi="Arial"/>
          <w:b/>
          <w:sz w:val="20"/>
        </w:rPr>
        <w:t>iXcenter</w:t>
      </w:r>
      <w:proofErr w:type="spellEnd"/>
      <w:r>
        <w:rPr>
          <w:rFonts w:ascii="Arial" w:hAnsi="Arial"/>
          <w:b/>
          <w:sz w:val="20"/>
        </w:rPr>
        <w:t xml:space="preserve"> now </w:t>
      </w:r>
      <w:proofErr w:type="gramStart"/>
      <w:r>
        <w:rPr>
          <w:rFonts w:ascii="Arial" w:hAnsi="Arial"/>
          <w:b/>
          <w:sz w:val="20"/>
        </w:rPr>
        <w:t>also</w:t>
      </w:r>
      <w:proofErr w:type="gramEnd"/>
      <w:r>
        <w:rPr>
          <w:rFonts w:ascii="Arial" w:hAnsi="Arial"/>
          <w:b/>
          <w:sz w:val="20"/>
        </w:rPr>
        <w:t xml:space="preserve"> available for multi-spindle turning machines</w:t>
      </w:r>
    </w:p>
    <w:p w14:paraId="6FC2DE2B" w14:textId="2A82CD49" w:rsidR="00F4644C" w:rsidRDefault="00F640BD" w:rsidP="00F4644C">
      <w:pPr>
        <w:spacing w:after="200" w:line="360" w:lineRule="auto"/>
        <w:rPr>
          <w:rFonts w:ascii="Arial" w:eastAsiaTheme="minorHAnsi" w:hAnsi="Arial" w:cs="Arial"/>
          <w:sz w:val="20"/>
          <w:szCs w:val="20"/>
        </w:rPr>
      </w:pPr>
      <w:r>
        <w:rPr>
          <w:rFonts w:ascii="Arial" w:hAnsi="Arial"/>
          <w:sz w:val="20"/>
        </w:rPr>
        <w:lastRenderedPageBreak/>
        <w:t xml:space="preserve">INDEX will also showcase another new automation solution on the MS24-6 multi-spindle turning machine: an </w:t>
      </w:r>
      <w:proofErr w:type="spellStart"/>
      <w:r>
        <w:rPr>
          <w:rFonts w:ascii="Arial" w:hAnsi="Arial"/>
          <w:sz w:val="20"/>
        </w:rPr>
        <w:t>iXcenter</w:t>
      </w:r>
      <w:proofErr w:type="spellEnd"/>
      <w:r>
        <w:rPr>
          <w:rFonts w:ascii="Arial" w:hAnsi="Arial"/>
          <w:sz w:val="20"/>
        </w:rPr>
        <w:t xml:space="preserve"> developed specifically for this </w:t>
      </w:r>
      <w:proofErr w:type="gramStart"/>
      <w:r>
        <w:rPr>
          <w:rFonts w:ascii="Arial" w:hAnsi="Arial"/>
          <w:sz w:val="20"/>
        </w:rPr>
        <w:t>class of machine</w:t>
      </w:r>
      <w:proofErr w:type="gramEnd"/>
      <w:r>
        <w:rPr>
          <w:rFonts w:ascii="Arial" w:hAnsi="Arial"/>
          <w:sz w:val="20"/>
        </w:rPr>
        <w:t xml:space="preserve">. Mounted directly to the machine, the robot cell automates workpiece unloading and handling. Thanks to its modular design, the </w:t>
      </w:r>
      <w:proofErr w:type="spellStart"/>
      <w:r>
        <w:rPr>
          <w:rFonts w:ascii="Arial" w:hAnsi="Arial"/>
          <w:sz w:val="20"/>
        </w:rPr>
        <w:t>iXcenter</w:t>
      </w:r>
      <w:proofErr w:type="spellEnd"/>
      <w:r>
        <w:rPr>
          <w:rFonts w:ascii="Arial" w:hAnsi="Arial"/>
          <w:sz w:val="20"/>
        </w:rPr>
        <w:t xml:space="preserve"> can be adapted for numerous additional tasks and, with the appropriate options, supports closed-loop manufacturing. This enables stable, low-operator production of insert parts while maintaining consistent process quality. The </w:t>
      </w:r>
      <w:proofErr w:type="spellStart"/>
      <w:r>
        <w:rPr>
          <w:rFonts w:ascii="Arial" w:hAnsi="Arial"/>
          <w:sz w:val="20"/>
        </w:rPr>
        <w:t>iXcenter</w:t>
      </w:r>
      <w:proofErr w:type="spellEnd"/>
      <w:r>
        <w:rPr>
          <w:rFonts w:ascii="Arial" w:hAnsi="Arial"/>
          <w:sz w:val="20"/>
        </w:rPr>
        <w:t xml:space="preserve"> can also be retrofitted to many standard INDEX multi-spindle turning machines. </w:t>
      </w:r>
    </w:p>
    <w:p w14:paraId="74CD8973" w14:textId="6DAE16E4" w:rsidR="00095F95" w:rsidRPr="00791CD6" w:rsidRDefault="00095F95" w:rsidP="00095F95">
      <w:pPr>
        <w:spacing w:after="200" w:line="360" w:lineRule="auto"/>
        <w:rPr>
          <w:rFonts w:ascii="Arial" w:eastAsiaTheme="minorHAnsi" w:hAnsi="Arial" w:cs="Arial"/>
          <w:b/>
          <w:sz w:val="20"/>
          <w:szCs w:val="20"/>
        </w:rPr>
      </w:pPr>
      <w:bookmarkStart w:id="1" w:name="_Hlk219126892"/>
      <w:r>
        <w:rPr>
          <w:rFonts w:ascii="Arial" w:hAnsi="Arial"/>
          <w:b/>
          <w:sz w:val="20"/>
        </w:rPr>
        <w:t>Unmatched productivity per unit area</w:t>
      </w:r>
    </w:p>
    <w:p w14:paraId="0F74184F" w14:textId="16148402" w:rsidR="000B0956" w:rsidRDefault="00F4644C" w:rsidP="000B0956">
      <w:pPr>
        <w:spacing w:after="200" w:line="360" w:lineRule="auto"/>
        <w:rPr>
          <w:rFonts w:ascii="Arial" w:eastAsiaTheme="minorHAnsi" w:hAnsi="Arial" w:cs="Arial"/>
          <w:sz w:val="20"/>
          <w:szCs w:val="20"/>
        </w:rPr>
      </w:pPr>
      <w:r>
        <w:rPr>
          <w:rFonts w:ascii="Arial" w:hAnsi="Arial"/>
          <w:sz w:val="20"/>
        </w:rPr>
        <w:t>Another highlight at the INDEX booth is sure to be the new TRAUB MS12-4—a revolutionary multi-spindle sliding/fixed headstock turning machine for small workpieces with a diameter range of 3 to 13 mm. This machine is based on a completely new kinematic multi-spindle concept that does not rely on the legacy spindle drum and sequential machining. Instead, the MS12-4 follows the principle of the TRAUB TNL12 sliding headstock turning machine, whose core components, such as main and counter spindles, turrets, and flexible tool carriers (</w:t>
      </w:r>
      <w:proofErr w:type="spellStart"/>
      <w:r>
        <w:rPr>
          <w:rFonts w:ascii="Arial" w:hAnsi="Arial"/>
          <w:sz w:val="20"/>
        </w:rPr>
        <w:t>FlexWT</w:t>
      </w:r>
      <w:proofErr w:type="spellEnd"/>
      <w:r>
        <w:rPr>
          <w:rFonts w:ascii="Arial" w:hAnsi="Arial"/>
          <w:sz w:val="20"/>
        </w:rPr>
        <w:t>), are, in effect, vertically stacked four times over. This makes it possible to machine four parts simultaneously, significantly increasing productivity per unit area.</w:t>
      </w:r>
    </w:p>
    <w:p w14:paraId="73D54B2A" w14:textId="77777777" w:rsidR="000B0956" w:rsidRDefault="000B0956" w:rsidP="000B0956">
      <w:pPr>
        <w:spacing w:after="200" w:line="360" w:lineRule="auto"/>
        <w:rPr>
          <w:rFonts w:ascii="Arial" w:eastAsiaTheme="minorHAnsi" w:hAnsi="Arial" w:cs="Arial"/>
          <w:sz w:val="20"/>
          <w:szCs w:val="20"/>
        </w:rPr>
      </w:pPr>
      <w:r>
        <w:rPr>
          <w:rFonts w:ascii="Arial" w:hAnsi="Arial"/>
          <w:sz w:val="20"/>
        </w:rPr>
        <w:t>Additional advantages arise from the modular design of the TRAUB MS12-4. In addition to the full configuration with four spindles and turrets, as well as four counter spindles and flexible tool carriers (</w:t>
      </w:r>
      <w:proofErr w:type="spellStart"/>
      <w:r>
        <w:rPr>
          <w:rFonts w:ascii="Arial" w:hAnsi="Arial"/>
          <w:sz w:val="20"/>
        </w:rPr>
        <w:t>FlexWT</w:t>
      </w:r>
      <w:proofErr w:type="spellEnd"/>
      <w:r>
        <w:rPr>
          <w:rFonts w:ascii="Arial" w:hAnsi="Arial"/>
          <w:sz w:val="20"/>
        </w:rPr>
        <w:t>), customers can choose from further equipment variants. This allows the sliding headstock multi-spindle machine to be configured precisely and cost-effectively for the specific workpiece requirements.</w:t>
      </w:r>
    </w:p>
    <w:bookmarkEnd w:id="1"/>
    <w:p w14:paraId="019572D9" w14:textId="67E56C86" w:rsidR="00095F95" w:rsidRPr="00791CD6" w:rsidRDefault="00095F95" w:rsidP="00095F95">
      <w:pPr>
        <w:spacing w:after="200" w:line="360" w:lineRule="auto"/>
        <w:rPr>
          <w:rFonts w:ascii="Arial" w:eastAsiaTheme="minorHAnsi" w:hAnsi="Arial" w:cs="Arial"/>
          <w:b/>
          <w:sz w:val="20"/>
          <w:szCs w:val="20"/>
        </w:rPr>
      </w:pPr>
      <w:r>
        <w:rPr>
          <w:rFonts w:ascii="Arial" w:hAnsi="Arial"/>
          <w:b/>
          <w:sz w:val="20"/>
        </w:rPr>
        <w:t>Outstanding value</w:t>
      </w:r>
    </w:p>
    <w:p w14:paraId="02F09C91" w14:textId="04C91C87" w:rsidR="006D77BC" w:rsidRDefault="00F4644C" w:rsidP="006D77BC">
      <w:pPr>
        <w:spacing w:after="200" w:line="360" w:lineRule="auto"/>
        <w:rPr>
          <w:rFonts w:ascii="Arial" w:eastAsiaTheme="minorHAnsi" w:hAnsi="Arial" w:cs="Arial"/>
          <w:sz w:val="20"/>
          <w:szCs w:val="20"/>
        </w:rPr>
      </w:pPr>
      <w:r>
        <w:rPr>
          <w:rFonts w:ascii="Arial" w:hAnsi="Arial"/>
          <w:sz w:val="20"/>
        </w:rPr>
        <w:t xml:space="preserve">The </w:t>
      </w:r>
      <w:r>
        <w:rPr>
          <w:rFonts w:ascii="Arial" w:hAnsi="Arial"/>
          <w:b/>
          <w:sz w:val="20"/>
        </w:rPr>
        <w:t>TRAUB TNL12 lean</w:t>
      </w:r>
      <w:r>
        <w:rPr>
          <w:rFonts w:ascii="Arial" w:hAnsi="Arial"/>
          <w:sz w:val="20"/>
        </w:rPr>
        <w:t xml:space="preserve"> sliding/fixed headstock turning machine is another cost-effective solution. This entry-level version is equipped with just one turret and one back working unit, making it particularly attractive from an investment standpoint. The live guide bushing is adjustable but not programmable. Need more functionality? No problem. The lean version can also be expanded with a range of optional features.</w:t>
      </w:r>
    </w:p>
    <w:p w14:paraId="424E4E08" w14:textId="54CB2131" w:rsidR="00B20978" w:rsidRDefault="00F4644C" w:rsidP="006D77BC">
      <w:pPr>
        <w:spacing w:after="200" w:line="360" w:lineRule="auto"/>
        <w:rPr>
          <w:rFonts w:ascii="Arial" w:eastAsiaTheme="minorHAnsi" w:hAnsi="Arial" w:cs="Arial"/>
          <w:sz w:val="20"/>
          <w:szCs w:val="20"/>
        </w:rPr>
      </w:pPr>
      <w:r>
        <w:rPr>
          <w:rFonts w:ascii="Arial" w:hAnsi="Arial"/>
          <w:sz w:val="20"/>
        </w:rPr>
        <w:t xml:space="preserve">Not an entry-level machine, but the classic among production turning machines, the </w:t>
      </w:r>
      <w:r>
        <w:rPr>
          <w:rFonts w:ascii="Arial" w:hAnsi="Arial"/>
          <w:b/>
          <w:sz w:val="20"/>
        </w:rPr>
        <w:t>INDEX C200</w:t>
      </w:r>
      <w:r>
        <w:rPr>
          <w:rFonts w:ascii="Arial" w:hAnsi="Arial"/>
          <w:sz w:val="20"/>
        </w:rPr>
        <w:t xml:space="preserve"> is</w:t>
      </w:r>
      <w:r>
        <w:rPr>
          <w:rFonts w:ascii="Arial" w:hAnsi="Arial"/>
          <w:b/>
          <w:sz w:val="20"/>
        </w:rPr>
        <w:t xml:space="preserve"> </w:t>
      </w:r>
      <w:r>
        <w:rPr>
          <w:rFonts w:ascii="Arial" w:hAnsi="Arial"/>
          <w:sz w:val="20"/>
        </w:rPr>
        <w:t xml:space="preserve">a fixture at every trade show. Renowned for highly productive bar stock </w:t>
      </w:r>
      <w:proofErr w:type="gramStart"/>
      <w:r>
        <w:rPr>
          <w:rFonts w:ascii="Arial" w:hAnsi="Arial"/>
          <w:sz w:val="20"/>
        </w:rPr>
        <w:t>machining</w:t>
      </w:r>
      <w:proofErr w:type="gramEnd"/>
      <w:r>
        <w:rPr>
          <w:rFonts w:ascii="Arial" w:hAnsi="Arial"/>
          <w:sz w:val="20"/>
        </w:rPr>
        <w:t>, it is available with either a Siemens or Fanuc control. At AMB, the C200 will be on display in its Fanuc configuration.</w:t>
      </w:r>
    </w:p>
    <w:p w14:paraId="12FB0F25" w14:textId="07B96451" w:rsidR="00EA0758" w:rsidRPr="007A1FE3" w:rsidRDefault="00886000" w:rsidP="006D77BC">
      <w:pPr>
        <w:spacing w:after="200" w:line="360" w:lineRule="auto"/>
        <w:rPr>
          <w:rFonts w:ascii="Arial" w:eastAsiaTheme="minorHAnsi" w:hAnsi="Arial" w:cs="Arial"/>
          <w:b/>
          <w:sz w:val="20"/>
          <w:szCs w:val="20"/>
        </w:rPr>
      </w:pPr>
      <w:r>
        <w:rPr>
          <w:rFonts w:ascii="Arial" w:hAnsi="Arial"/>
          <w:b/>
          <w:sz w:val="20"/>
        </w:rPr>
        <w:t>A wealth of expertise</w:t>
      </w:r>
    </w:p>
    <w:p w14:paraId="1B1EB8EF" w14:textId="351F3B63" w:rsidR="00B20978" w:rsidRDefault="00886000" w:rsidP="006D77BC">
      <w:pPr>
        <w:spacing w:after="200" w:line="360" w:lineRule="auto"/>
        <w:rPr>
          <w:rFonts w:ascii="Arial" w:eastAsiaTheme="minorHAnsi" w:hAnsi="Arial" w:cs="Arial"/>
          <w:sz w:val="20"/>
          <w:szCs w:val="20"/>
        </w:rPr>
      </w:pPr>
      <w:r>
        <w:rPr>
          <w:rFonts w:ascii="Arial" w:hAnsi="Arial"/>
          <w:sz w:val="20"/>
        </w:rPr>
        <w:lastRenderedPageBreak/>
        <w:t xml:space="preserve">Knowledgeable INDEX experts will be available </w:t>
      </w:r>
      <w:proofErr w:type="gramStart"/>
      <w:r>
        <w:rPr>
          <w:rFonts w:ascii="Arial" w:hAnsi="Arial"/>
          <w:sz w:val="20"/>
        </w:rPr>
        <w:t>at</w:t>
      </w:r>
      <w:proofErr w:type="gramEnd"/>
      <w:r>
        <w:rPr>
          <w:rFonts w:ascii="Arial" w:hAnsi="Arial"/>
          <w:sz w:val="20"/>
        </w:rPr>
        <w:t xml:space="preserve"> every machine and system on display to answer questions and provide detailed information. In addition, the Meet-the-Experts counter in the center of the booth will invite visitors to discuss machining solutions for the medical, aerospace, and e-mobility sectors with </w:t>
      </w:r>
      <w:r>
        <w:rPr>
          <w:rFonts w:ascii="Arial" w:hAnsi="Arial"/>
          <w:b/>
          <w:sz w:val="20"/>
        </w:rPr>
        <w:t>INDEX application and technology specialists</w:t>
      </w:r>
      <w:r>
        <w:rPr>
          <w:rFonts w:ascii="Arial" w:hAnsi="Arial"/>
          <w:sz w:val="20"/>
        </w:rPr>
        <w:t xml:space="preserve">. The booth will also feature INDEX digital specialists, who will demonstrate the practical benefits of the digital </w:t>
      </w:r>
      <w:r>
        <w:rPr>
          <w:rFonts w:ascii="Arial" w:hAnsi="Arial"/>
          <w:b/>
          <w:sz w:val="20"/>
        </w:rPr>
        <w:t xml:space="preserve">INDEX </w:t>
      </w:r>
      <w:proofErr w:type="spellStart"/>
      <w:r>
        <w:rPr>
          <w:rFonts w:ascii="Arial" w:hAnsi="Arial"/>
          <w:b/>
          <w:sz w:val="20"/>
        </w:rPr>
        <w:t>iXworld</w:t>
      </w:r>
      <w:proofErr w:type="spellEnd"/>
      <w:r>
        <w:rPr>
          <w:rFonts w:ascii="Arial" w:hAnsi="Arial"/>
          <w:sz w:val="20"/>
        </w:rPr>
        <w:t xml:space="preserve">. They will present numerous iX4.0 apps, showing how the iX4.0 IoT platform ensures transparency and productivity throughout the entire machining process chain. They will also show how efficiently </w:t>
      </w:r>
      <w:proofErr w:type="gramStart"/>
      <w:r>
        <w:rPr>
          <w:rFonts w:ascii="Arial" w:hAnsi="Arial"/>
          <w:sz w:val="20"/>
        </w:rPr>
        <w:t xml:space="preserve">the </w:t>
      </w:r>
      <w:proofErr w:type="spellStart"/>
      <w:r>
        <w:rPr>
          <w:rFonts w:ascii="Arial" w:hAnsi="Arial"/>
          <w:sz w:val="20"/>
        </w:rPr>
        <w:t>iXshop</w:t>
      </w:r>
      <w:proofErr w:type="spellEnd"/>
      <w:proofErr w:type="gramEnd"/>
      <w:r>
        <w:rPr>
          <w:rFonts w:ascii="Arial" w:hAnsi="Arial"/>
          <w:sz w:val="20"/>
        </w:rPr>
        <w:t xml:space="preserve"> can be used to procure spare parts and other tools, as well as the benefits </w:t>
      </w:r>
      <w:proofErr w:type="spellStart"/>
      <w:r>
        <w:rPr>
          <w:rFonts w:ascii="Arial" w:hAnsi="Arial"/>
          <w:sz w:val="20"/>
        </w:rPr>
        <w:t>iXservices</w:t>
      </w:r>
      <w:proofErr w:type="spellEnd"/>
      <w:r>
        <w:rPr>
          <w:rFonts w:ascii="Arial" w:hAnsi="Arial"/>
          <w:sz w:val="20"/>
        </w:rPr>
        <w:t xml:space="preserve"> offer in after-sales service.</w:t>
      </w:r>
    </w:p>
    <w:p w14:paraId="04A971E2" w14:textId="77777777" w:rsidR="00A8325C" w:rsidRPr="00424CD1" w:rsidRDefault="00A8325C" w:rsidP="006D77BC">
      <w:pPr>
        <w:suppressLineNumbers/>
        <w:spacing w:line="336" w:lineRule="auto"/>
        <w:rPr>
          <w:rFonts w:ascii="Arial" w:hAnsi="Arial" w:cs="Arial"/>
          <w:sz w:val="20"/>
          <w:szCs w:val="20"/>
        </w:rPr>
      </w:pPr>
    </w:p>
    <w:p w14:paraId="7382A265" w14:textId="77777777" w:rsidR="004F741B" w:rsidRPr="00424CD1" w:rsidRDefault="004F741B" w:rsidP="006D77BC">
      <w:pPr>
        <w:suppressLineNumbers/>
        <w:spacing w:line="336" w:lineRule="auto"/>
        <w:rPr>
          <w:rFonts w:ascii="Arial" w:hAnsi="Arial" w:cs="Arial"/>
          <w:sz w:val="20"/>
          <w:szCs w:val="20"/>
        </w:rPr>
      </w:pPr>
    </w:p>
    <w:p w14:paraId="759CFED7" w14:textId="77777777" w:rsidR="00415D03" w:rsidRPr="003D44D2" w:rsidRDefault="00415D03" w:rsidP="006D77BC">
      <w:pPr>
        <w:suppressLineNumbers/>
        <w:spacing w:line="336" w:lineRule="auto"/>
        <w:rPr>
          <w:rFonts w:ascii="Arial" w:hAnsi="Arial" w:cs="Arial"/>
          <w:sz w:val="20"/>
          <w:szCs w:val="20"/>
        </w:rPr>
      </w:pPr>
      <w:r>
        <w:rPr>
          <w:rFonts w:ascii="Arial" w:hAnsi="Arial"/>
          <w:b/>
          <w:sz w:val="20"/>
        </w:rPr>
        <w:t>Contact:</w:t>
      </w:r>
      <w:r>
        <w:rPr>
          <w:rFonts w:ascii="Arial" w:hAnsi="Arial"/>
          <w:sz w:val="20"/>
        </w:rPr>
        <w:tab/>
        <w:t xml:space="preserve">INDEX-Werke GmbH &amp; Co. KG Hahn &amp; </w:t>
      </w:r>
      <w:proofErr w:type="spellStart"/>
      <w:r>
        <w:rPr>
          <w:rFonts w:ascii="Arial" w:hAnsi="Arial"/>
          <w:sz w:val="20"/>
        </w:rPr>
        <w:t>Tessky</w:t>
      </w:r>
      <w:proofErr w:type="spellEnd"/>
    </w:p>
    <w:p w14:paraId="22E96B94" w14:textId="77777777" w:rsidR="00415D03" w:rsidRPr="003D44D2" w:rsidRDefault="00415D03" w:rsidP="006D77BC">
      <w:pPr>
        <w:suppressLineNumbers/>
        <w:spacing w:line="336" w:lineRule="auto"/>
        <w:ind w:firstLine="1418"/>
        <w:rPr>
          <w:rFonts w:ascii="Arial" w:hAnsi="Arial" w:cs="Arial"/>
          <w:sz w:val="20"/>
          <w:szCs w:val="20"/>
        </w:rPr>
      </w:pPr>
      <w:r>
        <w:rPr>
          <w:rFonts w:ascii="Arial" w:hAnsi="Arial"/>
          <w:sz w:val="20"/>
        </w:rPr>
        <w:t>Rainer Gondek</w:t>
      </w:r>
    </w:p>
    <w:p w14:paraId="6FD0CEC6" w14:textId="77777777" w:rsidR="00415D03" w:rsidRPr="00DB289E" w:rsidRDefault="00415D03" w:rsidP="006D77BC">
      <w:pPr>
        <w:suppressLineNumbers/>
        <w:spacing w:line="336" w:lineRule="auto"/>
        <w:ind w:firstLine="1418"/>
        <w:rPr>
          <w:rFonts w:ascii="Arial" w:hAnsi="Arial" w:cs="Arial"/>
          <w:sz w:val="20"/>
          <w:szCs w:val="20"/>
        </w:rPr>
      </w:pPr>
      <w:r>
        <w:rPr>
          <w:rFonts w:ascii="Arial" w:hAnsi="Arial"/>
          <w:sz w:val="20"/>
        </w:rPr>
        <w:t xml:space="preserve">Global Marketing Director </w:t>
      </w:r>
    </w:p>
    <w:p w14:paraId="3899831B" w14:textId="77777777" w:rsidR="00415D03" w:rsidRPr="00DB289E" w:rsidRDefault="00415D03" w:rsidP="006D77BC">
      <w:pPr>
        <w:suppressLineNumbers/>
        <w:spacing w:line="336" w:lineRule="auto"/>
        <w:ind w:firstLine="1418"/>
        <w:rPr>
          <w:rFonts w:ascii="Arial" w:hAnsi="Arial" w:cs="Arial"/>
          <w:sz w:val="20"/>
          <w:szCs w:val="20"/>
        </w:rPr>
      </w:pPr>
      <w:r>
        <w:rPr>
          <w:rFonts w:ascii="Arial" w:hAnsi="Arial"/>
          <w:sz w:val="20"/>
        </w:rPr>
        <w:t>Phone: +49 (711) 3191-1286</w:t>
      </w:r>
    </w:p>
    <w:p w14:paraId="74478257" w14:textId="2380B5D3" w:rsidR="00415D03" w:rsidRPr="00D63BBF" w:rsidRDefault="00415D03" w:rsidP="006D77BC">
      <w:pPr>
        <w:suppressLineNumbers/>
        <w:spacing w:line="336" w:lineRule="auto"/>
        <w:ind w:firstLine="1418"/>
        <w:rPr>
          <w:rFonts w:ascii="Arial" w:hAnsi="Arial" w:cs="Arial"/>
          <w:sz w:val="20"/>
          <w:szCs w:val="20"/>
          <w:lang w:val="fr-FR"/>
        </w:rPr>
      </w:pPr>
      <w:hyperlink r:id="rId8" w:history="1">
        <w:r w:rsidRPr="00D63BBF">
          <w:rPr>
            <w:rStyle w:val="Hyperlink"/>
            <w:rFonts w:ascii="Arial" w:hAnsi="Arial"/>
            <w:sz w:val="20"/>
            <w:lang w:val="fr-FR"/>
          </w:rPr>
          <w:t>rainer.gondek@index-werke.de</w:t>
        </w:r>
      </w:hyperlink>
      <w:r w:rsidRPr="00D63BBF">
        <w:rPr>
          <w:rFonts w:ascii="Arial" w:hAnsi="Arial"/>
          <w:sz w:val="20"/>
          <w:lang w:val="fr-FR"/>
        </w:rPr>
        <w:t xml:space="preserve"> </w:t>
      </w:r>
    </w:p>
    <w:p w14:paraId="76603425" w14:textId="77777777" w:rsidR="006E6820" w:rsidRPr="00D63BBF" w:rsidRDefault="00F969E1" w:rsidP="006D77BC">
      <w:pPr>
        <w:suppressLineNumbers/>
        <w:spacing w:line="336" w:lineRule="auto"/>
        <w:ind w:firstLine="1418"/>
        <w:rPr>
          <w:rFonts w:ascii="Arial" w:hAnsi="Arial" w:cs="Arial"/>
          <w:sz w:val="20"/>
          <w:szCs w:val="20"/>
          <w:lang w:val="fr-FR"/>
        </w:rPr>
      </w:pPr>
      <w:r w:rsidRPr="00D63BBF">
        <w:rPr>
          <w:rFonts w:ascii="Arial" w:hAnsi="Arial"/>
          <w:sz w:val="20"/>
          <w:lang w:val="fr-FR"/>
        </w:rPr>
        <w:t xml:space="preserve"> </w:t>
      </w:r>
    </w:p>
    <w:p w14:paraId="63BD690C" w14:textId="77777777" w:rsidR="00A56E64" w:rsidRPr="00D63BBF" w:rsidRDefault="00A56E64" w:rsidP="006D77BC">
      <w:pPr>
        <w:suppressLineNumbers/>
        <w:rPr>
          <w:rFonts w:ascii="Arial" w:hAnsi="Arial" w:cs="Arial"/>
          <w:sz w:val="20"/>
          <w:szCs w:val="20"/>
          <w:lang w:val="fr-FR"/>
        </w:rPr>
      </w:pPr>
    </w:p>
    <w:p w14:paraId="7473EA11" w14:textId="77777777" w:rsidR="00DF7098" w:rsidRPr="00D63BBF" w:rsidRDefault="00DF7098" w:rsidP="006D77BC">
      <w:pPr>
        <w:rPr>
          <w:rFonts w:ascii="Arial" w:hAnsi="Arial" w:cs="Arial"/>
          <w:sz w:val="20"/>
          <w:szCs w:val="20"/>
          <w:lang w:val="fr-FR"/>
        </w:rPr>
      </w:pPr>
      <w:r w:rsidRPr="00D63BBF">
        <w:rPr>
          <w:lang w:val="fr-FR"/>
        </w:rPr>
        <w:br w:type="page"/>
      </w:r>
    </w:p>
    <w:p w14:paraId="1DE77FEB" w14:textId="77777777" w:rsidR="00A56E64" w:rsidRPr="00D63BBF" w:rsidRDefault="00A56E64" w:rsidP="006D77BC">
      <w:pPr>
        <w:suppressLineNumbers/>
        <w:rPr>
          <w:rFonts w:ascii="Arial" w:hAnsi="Arial" w:cs="Arial"/>
          <w:b/>
          <w:sz w:val="20"/>
          <w:szCs w:val="20"/>
          <w:lang w:val="fr-FR"/>
        </w:rPr>
      </w:pPr>
      <w:r w:rsidRPr="00D63BBF">
        <w:rPr>
          <w:rFonts w:ascii="Arial" w:hAnsi="Arial"/>
          <w:b/>
          <w:sz w:val="20"/>
          <w:lang w:val="fr-FR"/>
        </w:rPr>
        <w:lastRenderedPageBreak/>
        <w:t>Images</w:t>
      </w:r>
    </w:p>
    <w:p w14:paraId="55232A05" w14:textId="77777777" w:rsidR="00EE4E6B" w:rsidRPr="00D63BBF" w:rsidRDefault="00EE4E6B" w:rsidP="006D77BC">
      <w:pPr>
        <w:suppressLineNumbers/>
        <w:rPr>
          <w:rFonts w:ascii="Arial" w:hAnsi="Arial" w:cs="Arial"/>
          <w:b/>
          <w:sz w:val="20"/>
          <w:szCs w:val="20"/>
          <w:lang w:val="fr-FR"/>
        </w:rPr>
      </w:pPr>
    </w:p>
    <w:sectPr w:rsidR="00EE4E6B" w:rsidRPr="00D63BBF" w:rsidSect="00E84366">
      <w:headerReference w:type="default" r:id="rId9"/>
      <w:footerReference w:type="default" r:id="rId10"/>
      <w:type w:val="continuous"/>
      <w:pgSz w:w="11906" w:h="16838" w:code="9"/>
      <w:pgMar w:top="1077" w:right="2267" w:bottom="1134" w:left="1701" w:header="709" w:footer="454" w:gutter="0"/>
      <w:lnNumType w:countBy="5" w:restart="continuou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F09C67" w14:textId="77777777" w:rsidR="00622A42" w:rsidRDefault="00622A42">
      <w:r>
        <w:separator/>
      </w:r>
    </w:p>
  </w:endnote>
  <w:endnote w:type="continuationSeparator" w:id="0">
    <w:p w14:paraId="0307172C" w14:textId="77777777" w:rsidR="00622A42" w:rsidRDefault="00622A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HOGI B+ Univers">
    <w:altName w:val="Arial"/>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73FD7B" w14:textId="77777777" w:rsidR="00BD7AB3" w:rsidRPr="002A0A1F" w:rsidRDefault="00BD7AB3">
    <w:pPr>
      <w:pStyle w:val="Fuzeile"/>
      <w:rPr>
        <w:rFonts w:ascii="Arial" w:hAnsi="Arial" w:cs="Arial"/>
        <w:sz w:val="18"/>
        <w:szCs w:val="18"/>
      </w:rPr>
    </w:pPr>
    <w:r>
      <w:rPr>
        <w:rFonts w:ascii="Arial" w:hAnsi="Arial"/>
        <w:sz w:val="18"/>
      </w:rPr>
      <w:t xml:space="preserve">                                                               Page </w:t>
    </w:r>
    <w:r w:rsidRPr="002A0A1F">
      <w:rPr>
        <w:rStyle w:val="Seitenzahl"/>
        <w:rFonts w:ascii="Arial" w:hAnsi="Arial" w:cs="Arial"/>
        <w:sz w:val="18"/>
      </w:rPr>
      <w:fldChar w:fldCharType="begin"/>
    </w:r>
    <w:r w:rsidRPr="002A0A1F">
      <w:rPr>
        <w:rStyle w:val="Seitenzahl"/>
        <w:rFonts w:ascii="Arial" w:hAnsi="Arial" w:cs="Arial"/>
        <w:sz w:val="18"/>
      </w:rPr>
      <w:instrText xml:space="preserve"> PAGE </w:instrText>
    </w:r>
    <w:r w:rsidRPr="002A0A1F">
      <w:rPr>
        <w:rStyle w:val="Seitenzahl"/>
        <w:rFonts w:ascii="Arial" w:hAnsi="Arial" w:cs="Arial"/>
        <w:sz w:val="18"/>
      </w:rPr>
      <w:fldChar w:fldCharType="separate"/>
    </w:r>
    <w:r>
      <w:rPr>
        <w:rStyle w:val="Seitenzahl"/>
        <w:rFonts w:ascii="Arial" w:hAnsi="Arial" w:cs="Arial"/>
        <w:sz w:val="18"/>
      </w:rPr>
      <w:t>8</w:t>
    </w:r>
    <w:r w:rsidRPr="002A0A1F">
      <w:rPr>
        <w:rStyle w:val="Seitenzahl"/>
        <w:rFonts w:ascii="Arial" w:hAnsi="Arial" w:cs="Arial"/>
        <w:sz w:val="18"/>
      </w:rPr>
      <w:fldChar w:fldCharType="end"/>
    </w:r>
    <w:r>
      <w:rPr>
        <w:rStyle w:val="Seitenzahl"/>
        <w:rFonts w:ascii="Arial" w:hAnsi="Arial"/>
        <w:sz w:val="18"/>
      </w:rPr>
      <w:t xml:space="preserve"> of </w:t>
    </w:r>
    <w:r w:rsidRPr="002A0A1F">
      <w:rPr>
        <w:rStyle w:val="Seitenzahl"/>
        <w:rFonts w:ascii="Arial" w:hAnsi="Arial" w:cs="Arial"/>
        <w:sz w:val="18"/>
      </w:rPr>
      <w:fldChar w:fldCharType="begin"/>
    </w:r>
    <w:r w:rsidRPr="002A0A1F">
      <w:rPr>
        <w:rStyle w:val="Seitenzahl"/>
        <w:rFonts w:ascii="Arial" w:hAnsi="Arial" w:cs="Arial"/>
        <w:sz w:val="18"/>
      </w:rPr>
      <w:instrText xml:space="preserve"> NUMPAGES </w:instrText>
    </w:r>
    <w:r w:rsidRPr="002A0A1F">
      <w:rPr>
        <w:rStyle w:val="Seitenzahl"/>
        <w:rFonts w:ascii="Arial" w:hAnsi="Arial" w:cs="Arial"/>
        <w:sz w:val="18"/>
      </w:rPr>
      <w:fldChar w:fldCharType="separate"/>
    </w:r>
    <w:r>
      <w:rPr>
        <w:rStyle w:val="Seitenzahl"/>
        <w:rFonts w:ascii="Arial" w:hAnsi="Arial" w:cs="Arial"/>
        <w:sz w:val="18"/>
      </w:rPr>
      <w:t>8</w:t>
    </w:r>
    <w:r w:rsidRPr="002A0A1F">
      <w:rPr>
        <w:rStyle w:val="Seitenzahl"/>
        <w:rFonts w:ascii="Arial" w:hAnsi="Arial" w:cs="Arial"/>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759953" w14:textId="77777777" w:rsidR="00622A42" w:rsidRDefault="00622A42">
      <w:r>
        <w:separator/>
      </w:r>
    </w:p>
  </w:footnote>
  <w:footnote w:type="continuationSeparator" w:id="0">
    <w:p w14:paraId="330FB8A1" w14:textId="77777777" w:rsidR="00622A42" w:rsidRDefault="00622A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D5CE4" w14:textId="77777777" w:rsidR="00BD7AB3" w:rsidRPr="003D200C" w:rsidRDefault="00BD7AB3" w:rsidP="003A57C5">
    <w:pPr>
      <w:pStyle w:val="Kopfzeile"/>
      <w:tabs>
        <w:tab w:val="clear" w:pos="9072"/>
        <w:tab w:val="right" w:pos="9360"/>
      </w:tabs>
      <w:ind w:left="7799"/>
    </w:pPr>
    <w:r>
      <w:tab/>
    </w:r>
    <w:r>
      <w:rPr>
        <w:noProof/>
      </w:rPr>
      <w:drawing>
        <wp:inline distT="0" distB="0" distL="0" distR="0" wp14:anchorId="23525D24" wp14:editId="29CBF69C">
          <wp:extent cx="904875" cy="200025"/>
          <wp:effectExtent l="0" t="0" r="9525" b="9525"/>
          <wp:docPr id="6" name="Bild 2" descr="INDEX-25mm-Bla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NDEX-25mm-Black"/>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4875" cy="200025"/>
                  </a:xfrm>
                  <a:prstGeom prst="rect">
                    <a:avLst/>
                  </a:prstGeom>
                  <a:noFill/>
                  <a:ln>
                    <a:noFill/>
                  </a:ln>
                </pic:spPr>
              </pic:pic>
            </a:graphicData>
          </a:graphic>
        </wp:inline>
      </w:drawing>
    </w:r>
  </w:p>
  <w:p w14:paraId="43D153D2" w14:textId="77777777" w:rsidR="00BD7AB3" w:rsidRDefault="00BD7AB3" w:rsidP="008C66BE">
    <w:pPr>
      <w:pStyle w:val="Kopfzeile"/>
      <w:tabs>
        <w:tab w:val="clear" w:pos="4536"/>
        <w:tab w:val="clear" w:pos="9072"/>
      </w:tabs>
      <w:ind w:left="6840"/>
      <w:jc w:val="right"/>
      <w:rPr>
        <w:rFonts w:ascii="Arial" w:hAnsi="Arial" w:cs="Arial"/>
        <w:sz w:val="16"/>
      </w:rPr>
    </w:pPr>
  </w:p>
  <w:p w14:paraId="50897395" w14:textId="66AF154F" w:rsidR="00BD7AB3" w:rsidRPr="00341138" w:rsidRDefault="00BD7AB3" w:rsidP="003A57C5">
    <w:pPr>
      <w:pStyle w:val="Kopfzeile"/>
      <w:tabs>
        <w:tab w:val="clear" w:pos="4536"/>
        <w:tab w:val="clear" w:pos="9072"/>
      </w:tabs>
      <w:ind w:left="7549" w:right="-1560" w:firstLine="250"/>
      <w:rPr>
        <w:rFonts w:ascii="Arial" w:hAnsi="Arial" w:cs="Arial"/>
        <w:sz w:val="16"/>
      </w:rPr>
    </w:pPr>
    <w:bookmarkStart w:id="2" w:name="_Hlk76130212"/>
    <w:r>
      <w:rPr>
        <w:rFonts w:ascii="Arial" w:hAnsi="Arial"/>
        <w:sz w:val="16"/>
      </w:rPr>
      <w:t>Preview AMB 2026</w:t>
    </w:r>
  </w:p>
  <w:bookmarkEnd w:id="2"/>
  <w:p w14:paraId="4424023B" w14:textId="77777777" w:rsidR="00BD7AB3" w:rsidRPr="00341138" w:rsidRDefault="00BD7AB3" w:rsidP="00467F33">
    <w:pPr>
      <w:pStyle w:val="Kopfzeile"/>
      <w:tabs>
        <w:tab w:val="clear" w:pos="4536"/>
        <w:tab w:val="clear" w:pos="9072"/>
      </w:tabs>
      <w:ind w:left="6840" w:right="-1560"/>
      <w:rPr>
        <w:rFonts w:ascii="Arial" w:hAnsi="Arial" w:cs="Arial"/>
        <w:sz w:val="16"/>
      </w:rPr>
    </w:pPr>
  </w:p>
  <w:p w14:paraId="347668E0" w14:textId="77777777" w:rsidR="00BD7AB3" w:rsidRPr="00341138" w:rsidRDefault="00BD7AB3" w:rsidP="00AE64C2">
    <w:pPr>
      <w:pStyle w:val="Kopfzeile"/>
      <w:tabs>
        <w:tab w:val="clear" w:pos="4536"/>
        <w:tab w:val="clear" w:pos="9072"/>
      </w:tabs>
      <w:ind w:left="6840"/>
      <w:jc w:val="right"/>
      <w:rPr>
        <w:rFonts w:ascii="Arial" w:hAnsi="Arial" w:cs="Arial"/>
        <w:sz w:val="16"/>
      </w:rPr>
    </w:pPr>
  </w:p>
  <w:p w14:paraId="3DA2323E" w14:textId="77777777" w:rsidR="00BD7AB3" w:rsidRPr="00AE64C2" w:rsidRDefault="00BD7AB3" w:rsidP="00AE64C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C749F9"/>
    <w:multiLevelType w:val="hybridMultilevel"/>
    <w:tmpl w:val="29144FC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3A3F40EA"/>
    <w:multiLevelType w:val="multilevel"/>
    <w:tmpl w:val="0C0A258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58136DB"/>
    <w:multiLevelType w:val="hybridMultilevel"/>
    <w:tmpl w:val="8F2AEB0C"/>
    <w:lvl w:ilvl="0" w:tplc="0B62E82C">
      <w:numFmt w:val="bullet"/>
      <w:lvlText w:val="-"/>
      <w:lvlJc w:val="left"/>
      <w:pPr>
        <w:tabs>
          <w:tab w:val="num" w:pos="720"/>
        </w:tabs>
        <w:ind w:left="720" w:hanging="360"/>
      </w:pPr>
      <w:rPr>
        <w:rFonts w:ascii="Times New Roman" w:eastAsia="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16cid:durableId="1135952405">
    <w:abstractNumId w:val="2"/>
  </w:num>
  <w:num w:numId="2" w16cid:durableId="1736664787">
    <w:abstractNumId w:val="1"/>
  </w:num>
  <w:num w:numId="3" w16cid:durableId="14521677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3B72"/>
    <w:rsid w:val="000001ED"/>
    <w:rsid w:val="000004DE"/>
    <w:rsid w:val="00000CF3"/>
    <w:rsid w:val="000027A1"/>
    <w:rsid w:val="00013608"/>
    <w:rsid w:val="000145DC"/>
    <w:rsid w:val="000223C7"/>
    <w:rsid w:val="00023128"/>
    <w:rsid w:val="0002718C"/>
    <w:rsid w:val="000330EB"/>
    <w:rsid w:val="00033FAB"/>
    <w:rsid w:val="00037DD6"/>
    <w:rsid w:val="000417E2"/>
    <w:rsid w:val="00042DA3"/>
    <w:rsid w:val="000442A8"/>
    <w:rsid w:val="00046FB5"/>
    <w:rsid w:val="00065DD2"/>
    <w:rsid w:val="000708BA"/>
    <w:rsid w:val="0007582D"/>
    <w:rsid w:val="00084010"/>
    <w:rsid w:val="00092A02"/>
    <w:rsid w:val="000942FD"/>
    <w:rsid w:val="00095F95"/>
    <w:rsid w:val="000A09F9"/>
    <w:rsid w:val="000A0DDD"/>
    <w:rsid w:val="000A6B85"/>
    <w:rsid w:val="000A7F31"/>
    <w:rsid w:val="000B0956"/>
    <w:rsid w:val="000B0B5B"/>
    <w:rsid w:val="000C2336"/>
    <w:rsid w:val="000D0A3A"/>
    <w:rsid w:val="000D22C6"/>
    <w:rsid w:val="000D546A"/>
    <w:rsid w:val="000E7045"/>
    <w:rsid w:val="000E7E0D"/>
    <w:rsid w:val="00107B6B"/>
    <w:rsid w:val="00107F92"/>
    <w:rsid w:val="0011189B"/>
    <w:rsid w:val="00112619"/>
    <w:rsid w:val="001179B6"/>
    <w:rsid w:val="00120659"/>
    <w:rsid w:val="00123D45"/>
    <w:rsid w:val="0012499F"/>
    <w:rsid w:val="00130697"/>
    <w:rsid w:val="00131AC4"/>
    <w:rsid w:val="0013320E"/>
    <w:rsid w:val="001365DF"/>
    <w:rsid w:val="0014016A"/>
    <w:rsid w:val="00143AF0"/>
    <w:rsid w:val="00144799"/>
    <w:rsid w:val="00144D74"/>
    <w:rsid w:val="00147DD6"/>
    <w:rsid w:val="0016091D"/>
    <w:rsid w:val="00172B77"/>
    <w:rsid w:val="00181FF2"/>
    <w:rsid w:val="001867F8"/>
    <w:rsid w:val="00191224"/>
    <w:rsid w:val="001913D5"/>
    <w:rsid w:val="001960C7"/>
    <w:rsid w:val="001A1972"/>
    <w:rsid w:val="001A7866"/>
    <w:rsid w:val="001B1E13"/>
    <w:rsid w:val="001B36CA"/>
    <w:rsid w:val="001B39F6"/>
    <w:rsid w:val="001B7AF4"/>
    <w:rsid w:val="001C1A2D"/>
    <w:rsid w:val="001C7747"/>
    <w:rsid w:val="001D2BD6"/>
    <w:rsid w:val="001E05DD"/>
    <w:rsid w:val="001E1539"/>
    <w:rsid w:val="001E7D3B"/>
    <w:rsid w:val="00201559"/>
    <w:rsid w:val="00207497"/>
    <w:rsid w:val="00207885"/>
    <w:rsid w:val="00211AF2"/>
    <w:rsid w:val="00212595"/>
    <w:rsid w:val="002135E1"/>
    <w:rsid w:val="002174B8"/>
    <w:rsid w:val="002208C9"/>
    <w:rsid w:val="002213FD"/>
    <w:rsid w:val="00221ECE"/>
    <w:rsid w:val="00224559"/>
    <w:rsid w:val="00225696"/>
    <w:rsid w:val="0022706E"/>
    <w:rsid w:val="00235ED6"/>
    <w:rsid w:val="002361B1"/>
    <w:rsid w:val="002441EF"/>
    <w:rsid w:val="002504F7"/>
    <w:rsid w:val="002508F8"/>
    <w:rsid w:val="00252394"/>
    <w:rsid w:val="00256000"/>
    <w:rsid w:val="00261CB4"/>
    <w:rsid w:val="00262014"/>
    <w:rsid w:val="00262D8D"/>
    <w:rsid w:val="0026448E"/>
    <w:rsid w:val="0026646F"/>
    <w:rsid w:val="00267FDD"/>
    <w:rsid w:val="0027071B"/>
    <w:rsid w:val="00270ADC"/>
    <w:rsid w:val="00270AE4"/>
    <w:rsid w:val="002777F9"/>
    <w:rsid w:val="00284137"/>
    <w:rsid w:val="00284D73"/>
    <w:rsid w:val="00294D30"/>
    <w:rsid w:val="00295D86"/>
    <w:rsid w:val="002A0A1F"/>
    <w:rsid w:val="002A6C0D"/>
    <w:rsid w:val="002B2A2F"/>
    <w:rsid w:val="002C4493"/>
    <w:rsid w:val="002C52CB"/>
    <w:rsid w:val="002D038B"/>
    <w:rsid w:val="002D0FF4"/>
    <w:rsid w:val="002D2928"/>
    <w:rsid w:val="002D37B1"/>
    <w:rsid w:val="002E4C83"/>
    <w:rsid w:val="002E52C6"/>
    <w:rsid w:val="002E572F"/>
    <w:rsid w:val="002E74F7"/>
    <w:rsid w:val="002F179D"/>
    <w:rsid w:val="002F1927"/>
    <w:rsid w:val="002F51C3"/>
    <w:rsid w:val="002F7069"/>
    <w:rsid w:val="0030138C"/>
    <w:rsid w:val="00304641"/>
    <w:rsid w:val="0030559E"/>
    <w:rsid w:val="0030733E"/>
    <w:rsid w:val="00322E6E"/>
    <w:rsid w:val="003240E3"/>
    <w:rsid w:val="003279FA"/>
    <w:rsid w:val="00330503"/>
    <w:rsid w:val="00334401"/>
    <w:rsid w:val="00341138"/>
    <w:rsid w:val="0034618A"/>
    <w:rsid w:val="00350072"/>
    <w:rsid w:val="00353117"/>
    <w:rsid w:val="00360228"/>
    <w:rsid w:val="00360722"/>
    <w:rsid w:val="003621C8"/>
    <w:rsid w:val="0036385F"/>
    <w:rsid w:val="0036726E"/>
    <w:rsid w:val="00367F5D"/>
    <w:rsid w:val="00371478"/>
    <w:rsid w:val="0037311D"/>
    <w:rsid w:val="0037625A"/>
    <w:rsid w:val="00377560"/>
    <w:rsid w:val="0037788C"/>
    <w:rsid w:val="00377F47"/>
    <w:rsid w:val="00381EF9"/>
    <w:rsid w:val="003924B0"/>
    <w:rsid w:val="003925A8"/>
    <w:rsid w:val="00394986"/>
    <w:rsid w:val="003957DE"/>
    <w:rsid w:val="00395A28"/>
    <w:rsid w:val="00397A76"/>
    <w:rsid w:val="003A57C5"/>
    <w:rsid w:val="003A7C1B"/>
    <w:rsid w:val="003B0528"/>
    <w:rsid w:val="003B0F98"/>
    <w:rsid w:val="003B0FBA"/>
    <w:rsid w:val="003B5BA9"/>
    <w:rsid w:val="003D44D2"/>
    <w:rsid w:val="003E4D2B"/>
    <w:rsid w:val="003E5584"/>
    <w:rsid w:val="003F60D2"/>
    <w:rsid w:val="00406AB0"/>
    <w:rsid w:val="00407626"/>
    <w:rsid w:val="00414CF2"/>
    <w:rsid w:val="00415A87"/>
    <w:rsid w:val="00415D03"/>
    <w:rsid w:val="004204C8"/>
    <w:rsid w:val="00422AE3"/>
    <w:rsid w:val="00424CD1"/>
    <w:rsid w:val="00424E75"/>
    <w:rsid w:val="00426195"/>
    <w:rsid w:val="0043001E"/>
    <w:rsid w:val="00432DD2"/>
    <w:rsid w:val="00433009"/>
    <w:rsid w:val="00443DDF"/>
    <w:rsid w:val="0044530C"/>
    <w:rsid w:val="00446750"/>
    <w:rsid w:val="00447215"/>
    <w:rsid w:val="00455D3B"/>
    <w:rsid w:val="00460631"/>
    <w:rsid w:val="00463DF5"/>
    <w:rsid w:val="00467F33"/>
    <w:rsid w:val="004720E4"/>
    <w:rsid w:val="0047346F"/>
    <w:rsid w:val="00476642"/>
    <w:rsid w:val="00480330"/>
    <w:rsid w:val="004804E4"/>
    <w:rsid w:val="00480651"/>
    <w:rsid w:val="00481A92"/>
    <w:rsid w:val="0048614F"/>
    <w:rsid w:val="00496CE2"/>
    <w:rsid w:val="004A094C"/>
    <w:rsid w:val="004A2FB6"/>
    <w:rsid w:val="004A3D18"/>
    <w:rsid w:val="004A49E6"/>
    <w:rsid w:val="004A729F"/>
    <w:rsid w:val="004B2855"/>
    <w:rsid w:val="004B4C43"/>
    <w:rsid w:val="004B5958"/>
    <w:rsid w:val="004B5999"/>
    <w:rsid w:val="004B6991"/>
    <w:rsid w:val="004C27C0"/>
    <w:rsid w:val="004C486E"/>
    <w:rsid w:val="004C61DA"/>
    <w:rsid w:val="004D161C"/>
    <w:rsid w:val="004D5118"/>
    <w:rsid w:val="004D75BA"/>
    <w:rsid w:val="004E3D1C"/>
    <w:rsid w:val="004E6BF4"/>
    <w:rsid w:val="004F048C"/>
    <w:rsid w:val="004F2911"/>
    <w:rsid w:val="004F741B"/>
    <w:rsid w:val="00501800"/>
    <w:rsid w:val="005042F8"/>
    <w:rsid w:val="00504380"/>
    <w:rsid w:val="005078DA"/>
    <w:rsid w:val="005112C4"/>
    <w:rsid w:val="00521067"/>
    <w:rsid w:val="00521CF6"/>
    <w:rsid w:val="0052567E"/>
    <w:rsid w:val="00526C76"/>
    <w:rsid w:val="0053108F"/>
    <w:rsid w:val="0053423A"/>
    <w:rsid w:val="00535337"/>
    <w:rsid w:val="00543C7E"/>
    <w:rsid w:val="00544BB2"/>
    <w:rsid w:val="0055166D"/>
    <w:rsid w:val="00554E92"/>
    <w:rsid w:val="005609F5"/>
    <w:rsid w:val="00562442"/>
    <w:rsid w:val="00566701"/>
    <w:rsid w:val="00567152"/>
    <w:rsid w:val="00573260"/>
    <w:rsid w:val="00573C44"/>
    <w:rsid w:val="005753FB"/>
    <w:rsid w:val="00575BE8"/>
    <w:rsid w:val="0057633A"/>
    <w:rsid w:val="00577F45"/>
    <w:rsid w:val="00581ADC"/>
    <w:rsid w:val="0058267C"/>
    <w:rsid w:val="00582EBE"/>
    <w:rsid w:val="005849D6"/>
    <w:rsid w:val="00592320"/>
    <w:rsid w:val="005A48B3"/>
    <w:rsid w:val="005A68FC"/>
    <w:rsid w:val="005A7B39"/>
    <w:rsid w:val="005B0DF3"/>
    <w:rsid w:val="005C021E"/>
    <w:rsid w:val="005C665A"/>
    <w:rsid w:val="005C6E5A"/>
    <w:rsid w:val="005C721F"/>
    <w:rsid w:val="005D014F"/>
    <w:rsid w:val="005D018C"/>
    <w:rsid w:val="005D5FB8"/>
    <w:rsid w:val="005D6589"/>
    <w:rsid w:val="005E00FA"/>
    <w:rsid w:val="005E29EC"/>
    <w:rsid w:val="005F036F"/>
    <w:rsid w:val="005F11E5"/>
    <w:rsid w:val="005F3DF5"/>
    <w:rsid w:val="005F55FF"/>
    <w:rsid w:val="005F5611"/>
    <w:rsid w:val="005F7A16"/>
    <w:rsid w:val="00622A42"/>
    <w:rsid w:val="0062379F"/>
    <w:rsid w:val="00627581"/>
    <w:rsid w:val="00630673"/>
    <w:rsid w:val="00637120"/>
    <w:rsid w:val="006425A7"/>
    <w:rsid w:val="0065153A"/>
    <w:rsid w:val="00656679"/>
    <w:rsid w:val="00662111"/>
    <w:rsid w:val="006659CF"/>
    <w:rsid w:val="00672561"/>
    <w:rsid w:val="006727C1"/>
    <w:rsid w:val="00675059"/>
    <w:rsid w:val="006803F7"/>
    <w:rsid w:val="00680B31"/>
    <w:rsid w:val="0068145C"/>
    <w:rsid w:val="00683EF2"/>
    <w:rsid w:val="00684280"/>
    <w:rsid w:val="00695EC9"/>
    <w:rsid w:val="006A588B"/>
    <w:rsid w:val="006A673A"/>
    <w:rsid w:val="006B2D50"/>
    <w:rsid w:val="006B4984"/>
    <w:rsid w:val="006C0FD9"/>
    <w:rsid w:val="006C3E18"/>
    <w:rsid w:val="006C44E2"/>
    <w:rsid w:val="006D1B3E"/>
    <w:rsid w:val="006D77BC"/>
    <w:rsid w:val="006E0AE1"/>
    <w:rsid w:val="006E1B3D"/>
    <w:rsid w:val="006E351E"/>
    <w:rsid w:val="006E6820"/>
    <w:rsid w:val="006F25E1"/>
    <w:rsid w:val="006F2CD8"/>
    <w:rsid w:val="006F7DCA"/>
    <w:rsid w:val="00702C00"/>
    <w:rsid w:val="007073B1"/>
    <w:rsid w:val="0071341B"/>
    <w:rsid w:val="00713606"/>
    <w:rsid w:val="00717063"/>
    <w:rsid w:val="00717BFA"/>
    <w:rsid w:val="00727E85"/>
    <w:rsid w:val="00734673"/>
    <w:rsid w:val="00740E7F"/>
    <w:rsid w:val="007435BA"/>
    <w:rsid w:val="00745E7E"/>
    <w:rsid w:val="00747230"/>
    <w:rsid w:val="00751511"/>
    <w:rsid w:val="0076014F"/>
    <w:rsid w:val="00760C07"/>
    <w:rsid w:val="00760E34"/>
    <w:rsid w:val="00760FEC"/>
    <w:rsid w:val="00761098"/>
    <w:rsid w:val="00764F00"/>
    <w:rsid w:val="007652CE"/>
    <w:rsid w:val="007661DA"/>
    <w:rsid w:val="0077349B"/>
    <w:rsid w:val="00775FA5"/>
    <w:rsid w:val="00786B4C"/>
    <w:rsid w:val="00790FA8"/>
    <w:rsid w:val="00791CD6"/>
    <w:rsid w:val="00793000"/>
    <w:rsid w:val="007A1FE3"/>
    <w:rsid w:val="007A57F0"/>
    <w:rsid w:val="007A7797"/>
    <w:rsid w:val="007B0855"/>
    <w:rsid w:val="007B1419"/>
    <w:rsid w:val="007B1DCF"/>
    <w:rsid w:val="007B1E16"/>
    <w:rsid w:val="007B5F69"/>
    <w:rsid w:val="007B737D"/>
    <w:rsid w:val="007C68D9"/>
    <w:rsid w:val="007C6EC5"/>
    <w:rsid w:val="007D169D"/>
    <w:rsid w:val="007D664D"/>
    <w:rsid w:val="007E37E5"/>
    <w:rsid w:val="007E6E30"/>
    <w:rsid w:val="007F052C"/>
    <w:rsid w:val="007F15E7"/>
    <w:rsid w:val="00800F22"/>
    <w:rsid w:val="0080270B"/>
    <w:rsid w:val="008036F7"/>
    <w:rsid w:val="00803F11"/>
    <w:rsid w:val="00807CE8"/>
    <w:rsid w:val="00810088"/>
    <w:rsid w:val="00813110"/>
    <w:rsid w:val="008133B0"/>
    <w:rsid w:val="00815941"/>
    <w:rsid w:val="008177F0"/>
    <w:rsid w:val="008178F5"/>
    <w:rsid w:val="00836F98"/>
    <w:rsid w:val="008452EE"/>
    <w:rsid w:val="00845508"/>
    <w:rsid w:val="00847216"/>
    <w:rsid w:val="00847D66"/>
    <w:rsid w:val="00851066"/>
    <w:rsid w:val="008516F5"/>
    <w:rsid w:val="00853E22"/>
    <w:rsid w:val="0085749B"/>
    <w:rsid w:val="0086192A"/>
    <w:rsid w:val="0086295F"/>
    <w:rsid w:val="00863CDE"/>
    <w:rsid w:val="00867F14"/>
    <w:rsid w:val="00877CBA"/>
    <w:rsid w:val="008858D7"/>
    <w:rsid w:val="00886000"/>
    <w:rsid w:val="00893E98"/>
    <w:rsid w:val="008A0474"/>
    <w:rsid w:val="008A3663"/>
    <w:rsid w:val="008B5385"/>
    <w:rsid w:val="008B58B8"/>
    <w:rsid w:val="008B765E"/>
    <w:rsid w:val="008B7D20"/>
    <w:rsid w:val="008C104C"/>
    <w:rsid w:val="008C3A38"/>
    <w:rsid w:val="008C4772"/>
    <w:rsid w:val="008C5E67"/>
    <w:rsid w:val="008C66BE"/>
    <w:rsid w:val="008D182F"/>
    <w:rsid w:val="008D1A51"/>
    <w:rsid w:val="008D4F35"/>
    <w:rsid w:val="008D6EB5"/>
    <w:rsid w:val="008E1553"/>
    <w:rsid w:val="008E268C"/>
    <w:rsid w:val="008F1C00"/>
    <w:rsid w:val="00901621"/>
    <w:rsid w:val="00904D06"/>
    <w:rsid w:val="00904F52"/>
    <w:rsid w:val="0091190A"/>
    <w:rsid w:val="00917F2E"/>
    <w:rsid w:val="009218D6"/>
    <w:rsid w:val="009224CC"/>
    <w:rsid w:val="00924588"/>
    <w:rsid w:val="00926B09"/>
    <w:rsid w:val="00930D76"/>
    <w:rsid w:val="0093136C"/>
    <w:rsid w:val="0094120E"/>
    <w:rsid w:val="0094224B"/>
    <w:rsid w:val="00946D88"/>
    <w:rsid w:val="00955761"/>
    <w:rsid w:val="009661B7"/>
    <w:rsid w:val="00971814"/>
    <w:rsid w:val="00971F9F"/>
    <w:rsid w:val="00985312"/>
    <w:rsid w:val="00993817"/>
    <w:rsid w:val="009951D4"/>
    <w:rsid w:val="009A0DFB"/>
    <w:rsid w:val="009A2376"/>
    <w:rsid w:val="009B59B8"/>
    <w:rsid w:val="009B5C3A"/>
    <w:rsid w:val="009C133D"/>
    <w:rsid w:val="009C1E01"/>
    <w:rsid w:val="009C44F2"/>
    <w:rsid w:val="009D31CF"/>
    <w:rsid w:val="009E1274"/>
    <w:rsid w:val="009E1C1C"/>
    <w:rsid w:val="009E4663"/>
    <w:rsid w:val="009E5B38"/>
    <w:rsid w:val="009E6EA1"/>
    <w:rsid w:val="009F163D"/>
    <w:rsid w:val="009F28B1"/>
    <w:rsid w:val="009F3B72"/>
    <w:rsid w:val="009F446A"/>
    <w:rsid w:val="009F5052"/>
    <w:rsid w:val="009F790F"/>
    <w:rsid w:val="00A13F99"/>
    <w:rsid w:val="00A269CE"/>
    <w:rsid w:val="00A32630"/>
    <w:rsid w:val="00A354EF"/>
    <w:rsid w:val="00A358D5"/>
    <w:rsid w:val="00A36669"/>
    <w:rsid w:val="00A37BBA"/>
    <w:rsid w:val="00A50F9C"/>
    <w:rsid w:val="00A56E64"/>
    <w:rsid w:val="00A60697"/>
    <w:rsid w:val="00A662A5"/>
    <w:rsid w:val="00A70851"/>
    <w:rsid w:val="00A716C4"/>
    <w:rsid w:val="00A72BAE"/>
    <w:rsid w:val="00A73611"/>
    <w:rsid w:val="00A73987"/>
    <w:rsid w:val="00A7642B"/>
    <w:rsid w:val="00A769FD"/>
    <w:rsid w:val="00A7749A"/>
    <w:rsid w:val="00A812E4"/>
    <w:rsid w:val="00A81CD2"/>
    <w:rsid w:val="00A8325C"/>
    <w:rsid w:val="00A83A93"/>
    <w:rsid w:val="00A83F0A"/>
    <w:rsid w:val="00A84A49"/>
    <w:rsid w:val="00A90CAD"/>
    <w:rsid w:val="00A94162"/>
    <w:rsid w:val="00A95DB7"/>
    <w:rsid w:val="00A96370"/>
    <w:rsid w:val="00AA49F6"/>
    <w:rsid w:val="00AA4DE4"/>
    <w:rsid w:val="00AB5101"/>
    <w:rsid w:val="00AB7057"/>
    <w:rsid w:val="00AC37E7"/>
    <w:rsid w:val="00AD1B3A"/>
    <w:rsid w:val="00AD5157"/>
    <w:rsid w:val="00AD5459"/>
    <w:rsid w:val="00AE1178"/>
    <w:rsid w:val="00AE220D"/>
    <w:rsid w:val="00AE64C2"/>
    <w:rsid w:val="00AF04B8"/>
    <w:rsid w:val="00AF4F02"/>
    <w:rsid w:val="00B00B34"/>
    <w:rsid w:val="00B05448"/>
    <w:rsid w:val="00B062A9"/>
    <w:rsid w:val="00B106E6"/>
    <w:rsid w:val="00B143BF"/>
    <w:rsid w:val="00B20978"/>
    <w:rsid w:val="00B32197"/>
    <w:rsid w:val="00B43AE7"/>
    <w:rsid w:val="00B44177"/>
    <w:rsid w:val="00B44AA4"/>
    <w:rsid w:val="00B47A0D"/>
    <w:rsid w:val="00B50378"/>
    <w:rsid w:val="00B56F91"/>
    <w:rsid w:val="00B56FD7"/>
    <w:rsid w:val="00B6086D"/>
    <w:rsid w:val="00B60D19"/>
    <w:rsid w:val="00B611AA"/>
    <w:rsid w:val="00B6229B"/>
    <w:rsid w:val="00B71BC4"/>
    <w:rsid w:val="00B724D5"/>
    <w:rsid w:val="00B76920"/>
    <w:rsid w:val="00B76ED3"/>
    <w:rsid w:val="00B80843"/>
    <w:rsid w:val="00B87AC5"/>
    <w:rsid w:val="00B9037B"/>
    <w:rsid w:val="00BA4288"/>
    <w:rsid w:val="00BA57CA"/>
    <w:rsid w:val="00BA5C61"/>
    <w:rsid w:val="00BB0A86"/>
    <w:rsid w:val="00BB2535"/>
    <w:rsid w:val="00BB3AEB"/>
    <w:rsid w:val="00BC50E3"/>
    <w:rsid w:val="00BD264F"/>
    <w:rsid w:val="00BD512C"/>
    <w:rsid w:val="00BD7AB3"/>
    <w:rsid w:val="00BE7797"/>
    <w:rsid w:val="00BE79B9"/>
    <w:rsid w:val="00BF127F"/>
    <w:rsid w:val="00BF5362"/>
    <w:rsid w:val="00BF7959"/>
    <w:rsid w:val="00C01F56"/>
    <w:rsid w:val="00C0374E"/>
    <w:rsid w:val="00C06334"/>
    <w:rsid w:val="00C06D88"/>
    <w:rsid w:val="00C13822"/>
    <w:rsid w:val="00C154E1"/>
    <w:rsid w:val="00C205C7"/>
    <w:rsid w:val="00C26133"/>
    <w:rsid w:val="00C35B6D"/>
    <w:rsid w:val="00C37521"/>
    <w:rsid w:val="00C460E5"/>
    <w:rsid w:val="00C52C2E"/>
    <w:rsid w:val="00C5688F"/>
    <w:rsid w:val="00C571F6"/>
    <w:rsid w:val="00C63FCB"/>
    <w:rsid w:val="00C649E0"/>
    <w:rsid w:val="00C71D48"/>
    <w:rsid w:val="00C76642"/>
    <w:rsid w:val="00C80D8C"/>
    <w:rsid w:val="00C905AB"/>
    <w:rsid w:val="00C921AF"/>
    <w:rsid w:val="00C96D56"/>
    <w:rsid w:val="00CA132B"/>
    <w:rsid w:val="00CA3275"/>
    <w:rsid w:val="00CB3691"/>
    <w:rsid w:val="00CB6480"/>
    <w:rsid w:val="00CC2163"/>
    <w:rsid w:val="00CC3F7A"/>
    <w:rsid w:val="00CC7AA6"/>
    <w:rsid w:val="00CD0992"/>
    <w:rsid w:val="00CD59EA"/>
    <w:rsid w:val="00CD6D21"/>
    <w:rsid w:val="00CE0DA3"/>
    <w:rsid w:val="00CE0F69"/>
    <w:rsid w:val="00CE3C6A"/>
    <w:rsid w:val="00CE4C4B"/>
    <w:rsid w:val="00CE5A6A"/>
    <w:rsid w:val="00CE5DA1"/>
    <w:rsid w:val="00CE6586"/>
    <w:rsid w:val="00CF725D"/>
    <w:rsid w:val="00D04BF0"/>
    <w:rsid w:val="00D15798"/>
    <w:rsid w:val="00D16F4D"/>
    <w:rsid w:val="00D222A0"/>
    <w:rsid w:val="00D23B95"/>
    <w:rsid w:val="00D25284"/>
    <w:rsid w:val="00D26A4B"/>
    <w:rsid w:val="00D2753C"/>
    <w:rsid w:val="00D30FCC"/>
    <w:rsid w:val="00D36626"/>
    <w:rsid w:val="00D512FA"/>
    <w:rsid w:val="00D56971"/>
    <w:rsid w:val="00D5710F"/>
    <w:rsid w:val="00D63BBF"/>
    <w:rsid w:val="00D7009F"/>
    <w:rsid w:val="00D70682"/>
    <w:rsid w:val="00D769D7"/>
    <w:rsid w:val="00D80C3D"/>
    <w:rsid w:val="00D82EFA"/>
    <w:rsid w:val="00D87A7C"/>
    <w:rsid w:val="00D929B7"/>
    <w:rsid w:val="00D96A3F"/>
    <w:rsid w:val="00D96EF7"/>
    <w:rsid w:val="00DA105D"/>
    <w:rsid w:val="00DA2163"/>
    <w:rsid w:val="00DA3ABF"/>
    <w:rsid w:val="00DA4919"/>
    <w:rsid w:val="00DA4FD7"/>
    <w:rsid w:val="00DB20D7"/>
    <w:rsid w:val="00DB289E"/>
    <w:rsid w:val="00DB3BB2"/>
    <w:rsid w:val="00DB6DA3"/>
    <w:rsid w:val="00DC6E3B"/>
    <w:rsid w:val="00DD273B"/>
    <w:rsid w:val="00DD649A"/>
    <w:rsid w:val="00DE2001"/>
    <w:rsid w:val="00DF3149"/>
    <w:rsid w:val="00DF7098"/>
    <w:rsid w:val="00DF72D5"/>
    <w:rsid w:val="00E012F8"/>
    <w:rsid w:val="00E01CD3"/>
    <w:rsid w:val="00E07D31"/>
    <w:rsid w:val="00E07DAF"/>
    <w:rsid w:val="00E1488A"/>
    <w:rsid w:val="00E148DF"/>
    <w:rsid w:val="00E17752"/>
    <w:rsid w:val="00E217FF"/>
    <w:rsid w:val="00E303AC"/>
    <w:rsid w:val="00E35A69"/>
    <w:rsid w:val="00E3784D"/>
    <w:rsid w:val="00E462F7"/>
    <w:rsid w:val="00E5370B"/>
    <w:rsid w:val="00E571FC"/>
    <w:rsid w:val="00E57B74"/>
    <w:rsid w:val="00E6620E"/>
    <w:rsid w:val="00E74197"/>
    <w:rsid w:val="00E74DB2"/>
    <w:rsid w:val="00E80F73"/>
    <w:rsid w:val="00E82AA1"/>
    <w:rsid w:val="00E84366"/>
    <w:rsid w:val="00E905AC"/>
    <w:rsid w:val="00E931A6"/>
    <w:rsid w:val="00E93B26"/>
    <w:rsid w:val="00E94870"/>
    <w:rsid w:val="00EA0758"/>
    <w:rsid w:val="00EA170E"/>
    <w:rsid w:val="00EA402B"/>
    <w:rsid w:val="00EA7A1A"/>
    <w:rsid w:val="00EA7F71"/>
    <w:rsid w:val="00EB31E0"/>
    <w:rsid w:val="00EB7121"/>
    <w:rsid w:val="00EC0EE6"/>
    <w:rsid w:val="00EC3D9F"/>
    <w:rsid w:val="00EC4279"/>
    <w:rsid w:val="00EC58B3"/>
    <w:rsid w:val="00EC72BC"/>
    <w:rsid w:val="00EE4C5E"/>
    <w:rsid w:val="00EE4E6B"/>
    <w:rsid w:val="00EE5A18"/>
    <w:rsid w:val="00EE72A6"/>
    <w:rsid w:val="00EF1934"/>
    <w:rsid w:val="00EF7037"/>
    <w:rsid w:val="00F0517F"/>
    <w:rsid w:val="00F05930"/>
    <w:rsid w:val="00F07305"/>
    <w:rsid w:val="00F10062"/>
    <w:rsid w:val="00F10547"/>
    <w:rsid w:val="00F1521D"/>
    <w:rsid w:val="00F16F5B"/>
    <w:rsid w:val="00F24B2A"/>
    <w:rsid w:val="00F26A5A"/>
    <w:rsid w:val="00F2707A"/>
    <w:rsid w:val="00F37509"/>
    <w:rsid w:val="00F3781E"/>
    <w:rsid w:val="00F432B8"/>
    <w:rsid w:val="00F45B27"/>
    <w:rsid w:val="00F4644C"/>
    <w:rsid w:val="00F46E77"/>
    <w:rsid w:val="00F47829"/>
    <w:rsid w:val="00F5103E"/>
    <w:rsid w:val="00F54CDB"/>
    <w:rsid w:val="00F551E6"/>
    <w:rsid w:val="00F640BD"/>
    <w:rsid w:val="00F65342"/>
    <w:rsid w:val="00F71EDD"/>
    <w:rsid w:val="00F75C79"/>
    <w:rsid w:val="00F76584"/>
    <w:rsid w:val="00F76CA9"/>
    <w:rsid w:val="00F822B2"/>
    <w:rsid w:val="00F84604"/>
    <w:rsid w:val="00F851F5"/>
    <w:rsid w:val="00F9394B"/>
    <w:rsid w:val="00F95AC7"/>
    <w:rsid w:val="00F969E1"/>
    <w:rsid w:val="00FA3C6D"/>
    <w:rsid w:val="00FA6635"/>
    <w:rsid w:val="00FB5DE6"/>
    <w:rsid w:val="00FB5E28"/>
    <w:rsid w:val="00FB740A"/>
    <w:rsid w:val="00FC429B"/>
    <w:rsid w:val="00FC78CF"/>
    <w:rsid w:val="00FD3F31"/>
    <w:rsid w:val="00FD6BE2"/>
    <w:rsid w:val="00FE24D6"/>
    <w:rsid w:val="00FE2B5E"/>
    <w:rsid w:val="00FE395A"/>
    <w:rsid w:val="00FF514D"/>
    <w:rsid w:val="00FF6304"/>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AAB6A4"/>
  <w15:docId w15:val="{0400524A-BE01-400C-AEEC-5F667C871C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95F95"/>
    <w:rPr>
      <w:sz w:val="24"/>
      <w:szCs w:val="24"/>
    </w:rPr>
  </w:style>
  <w:style w:type="paragraph" w:styleId="berschrift3">
    <w:name w:val="heading 3"/>
    <w:basedOn w:val="Standard"/>
    <w:next w:val="Standard"/>
    <w:qFormat/>
    <w:rsid w:val="0086295F"/>
    <w:pPr>
      <w:keepNext/>
      <w:outlineLvl w:val="2"/>
    </w:pPr>
    <w:rPr>
      <w:rFonts w:ascii="Arial" w:hAnsi="Arial"/>
      <w:b/>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rsid w:val="00745E7E"/>
    <w:rPr>
      <w:color w:val="0000FF"/>
      <w:u w:val="single"/>
    </w:rPr>
  </w:style>
  <w:style w:type="paragraph" w:styleId="Sprechblasentext">
    <w:name w:val="Balloon Text"/>
    <w:basedOn w:val="Standard"/>
    <w:semiHidden/>
    <w:rsid w:val="008D6EB5"/>
    <w:rPr>
      <w:rFonts w:ascii="Tahoma" w:hAnsi="Tahoma" w:cs="Tahoma"/>
      <w:sz w:val="16"/>
      <w:szCs w:val="16"/>
    </w:rPr>
  </w:style>
  <w:style w:type="character" w:styleId="BesuchterLink">
    <w:name w:val="FollowedHyperlink"/>
    <w:rsid w:val="003E4D2B"/>
    <w:rPr>
      <w:color w:val="606420"/>
      <w:u w:val="single"/>
    </w:rPr>
  </w:style>
  <w:style w:type="paragraph" w:customStyle="1" w:styleId="berschrift32">
    <w:name w:val="Überschrift 32"/>
    <w:basedOn w:val="Standard"/>
    <w:rsid w:val="00A269CE"/>
    <w:pPr>
      <w:outlineLvl w:val="3"/>
    </w:pPr>
    <w:rPr>
      <w:b/>
      <w:bCs/>
      <w:color w:val="000000"/>
      <w:sz w:val="26"/>
      <w:szCs w:val="26"/>
    </w:rPr>
  </w:style>
  <w:style w:type="paragraph" w:styleId="Beschriftung">
    <w:name w:val="caption"/>
    <w:basedOn w:val="Standard"/>
    <w:next w:val="Standard"/>
    <w:qFormat/>
    <w:rsid w:val="0093136C"/>
    <w:pPr>
      <w:spacing w:before="120" w:after="120"/>
    </w:pPr>
    <w:rPr>
      <w:b/>
      <w:bCs/>
      <w:sz w:val="20"/>
      <w:szCs w:val="20"/>
    </w:rPr>
  </w:style>
  <w:style w:type="paragraph" w:styleId="Kopfzeile">
    <w:name w:val="header"/>
    <w:basedOn w:val="Standard"/>
    <w:rsid w:val="00D80C3D"/>
    <w:pPr>
      <w:tabs>
        <w:tab w:val="center" w:pos="4536"/>
        <w:tab w:val="right" w:pos="9072"/>
      </w:tabs>
    </w:pPr>
  </w:style>
  <w:style w:type="paragraph" w:styleId="Fuzeile">
    <w:name w:val="footer"/>
    <w:basedOn w:val="Standard"/>
    <w:rsid w:val="00D80C3D"/>
    <w:pPr>
      <w:tabs>
        <w:tab w:val="center" w:pos="4536"/>
        <w:tab w:val="right" w:pos="9072"/>
      </w:tabs>
    </w:pPr>
  </w:style>
  <w:style w:type="character" w:styleId="Seitenzahl">
    <w:name w:val="page number"/>
    <w:basedOn w:val="Absatz-Standardschriftart"/>
    <w:rsid w:val="002A0A1F"/>
  </w:style>
  <w:style w:type="paragraph" w:customStyle="1" w:styleId="StandardWeb2">
    <w:name w:val="Standard (Web)2"/>
    <w:basedOn w:val="Standard"/>
    <w:rsid w:val="008F1C00"/>
    <w:rPr>
      <w:color w:val="000000"/>
      <w:sz w:val="26"/>
      <w:szCs w:val="26"/>
    </w:rPr>
  </w:style>
  <w:style w:type="paragraph" w:styleId="Dokumentstruktur">
    <w:name w:val="Document Map"/>
    <w:basedOn w:val="Standard"/>
    <w:semiHidden/>
    <w:rsid w:val="001B36CA"/>
    <w:pPr>
      <w:shd w:val="clear" w:color="auto" w:fill="000080"/>
    </w:pPr>
    <w:rPr>
      <w:rFonts w:ascii="Tahoma" w:hAnsi="Tahoma" w:cs="Tahoma"/>
    </w:rPr>
  </w:style>
  <w:style w:type="paragraph" w:customStyle="1" w:styleId="Default">
    <w:name w:val="Default"/>
    <w:rsid w:val="00EF7037"/>
    <w:pPr>
      <w:autoSpaceDE w:val="0"/>
      <w:autoSpaceDN w:val="0"/>
      <w:adjustRightInd w:val="0"/>
    </w:pPr>
    <w:rPr>
      <w:rFonts w:ascii="LHOGI B+ Univers" w:hAnsi="LHOGI B+ Univers" w:cs="LHOGI B+ Univers"/>
      <w:color w:val="000000"/>
      <w:sz w:val="24"/>
      <w:szCs w:val="24"/>
    </w:rPr>
  </w:style>
  <w:style w:type="paragraph" w:customStyle="1" w:styleId="Hauptberschrift">
    <w:name w:val="Hauptüberschrift"/>
    <w:basedOn w:val="Standard"/>
    <w:rsid w:val="00235ED6"/>
    <w:pPr>
      <w:spacing w:after="120" w:line="360" w:lineRule="auto"/>
    </w:pPr>
    <w:rPr>
      <w:rFonts w:ascii="Arial" w:hAnsi="Arial" w:cs="Arial"/>
      <w:b/>
      <w:sz w:val="36"/>
      <w:szCs w:val="36"/>
    </w:rPr>
  </w:style>
  <w:style w:type="paragraph" w:customStyle="1" w:styleId="Listenabsatz1">
    <w:name w:val="Listenabsatz1"/>
    <w:basedOn w:val="Standard"/>
    <w:rsid w:val="00E57B74"/>
    <w:pPr>
      <w:ind w:left="720"/>
      <w:contextualSpacing/>
    </w:pPr>
  </w:style>
  <w:style w:type="character" w:styleId="Zeilennummer">
    <w:name w:val="line number"/>
    <w:basedOn w:val="Absatz-Standardschriftart"/>
    <w:rsid w:val="00F37509"/>
  </w:style>
  <w:style w:type="character" w:customStyle="1" w:styleId="NichtaufgelsteErwhnung1">
    <w:name w:val="Nicht aufgelöste Erwähnung1"/>
    <w:basedOn w:val="Absatz-Standardschriftart"/>
    <w:uiPriority w:val="99"/>
    <w:semiHidden/>
    <w:unhideWhenUsed/>
    <w:rsid w:val="00A8325C"/>
    <w:rPr>
      <w:color w:val="605E5C"/>
      <w:shd w:val="clear" w:color="auto" w:fill="E1DFDD"/>
    </w:rPr>
  </w:style>
  <w:style w:type="paragraph" w:styleId="Listenabsatz">
    <w:name w:val="List Paragraph"/>
    <w:basedOn w:val="Standard"/>
    <w:uiPriority w:val="34"/>
    <w:qFormat/>
    <w:rsid w:val="00F432B8"/>
    <w:pPr>
      <w:ind w:left="720"/>
      <w:contextualSpacing/>
    </w:pPr>
  </w:style>
  <w:style w:type="character" w:styleId="Kommentarzeichen">
    <w:name w:val="annotation reference"/>
    <w:basedOn w:val="Absatz-Standardschriftart"/>
    <w:semiHidden/>
    <w:unhideWhenUsed/>
    <w:rsid w:val="000B0956"/>
    <w:rPr>
      <w:sz w:val="16"/>
      <w:szCs w:val="16"/>
    </w:rPr>
  </w:style>
  <w:style w:type="paragraph" w:styleId="Kommentartext">
    <w:name w:val="annotation text"/>
    <w:basedOn w:val="Standard"/>
    <w:link w:val="KommentartextZchn"/>
    <w:semiHidden/>
    <w:unhideWhenUsed/>
    <w:rsid w:val="000B0956"/>
    <w:rPr>
      <w:sz w:val="20"/>
      <w:szCs w:val="20"/>
    </w:rPr>
  </w:style>
  <w:style w:type="character" w:customStyle="1" w:styleId="KommentartextZchn">
    <w:name w:val="Kommentartext Zchn"/>
    <w:basedOn w:val="Absatz-Standardschriftart"/>
    <w:link w:val="Kommentartext"/>
    <w:semiHidden/>
    <w:rsid w:val="000B0956"/>
  </w:style>
  <w:style w:type="paragraph" w:styleId="Kommentarthema">
    <w:name w:val="annotation subject"/>
    <w:basedOn w:val="Kommentartext"/>
    <w:next w:val="Kommentartext"/>
    <w:link w:val="KommentarthemaZchn"/>
    <w:semiHidden/>
    <w:unhideWhenUsed/>
    <w:rsid w:val="000B0956"/>
    <w:rPr>
      <w:b/>
      <w:bCs/>
    </w:rPr>
  </w:style>
  <w:style w:type="character" w:customStyle="1" w:styleId="KommentarthemaZchn">
    <w:name w:val="Kommentarthema Zchn"/>
    <w:basedOn w:val="KommentartextZchn"/>
    <w:link w:val="Kommentarthema"/>
    <w:semiHidden/>
    <w:rsid w:val="000B095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7068174">
      <w:bodyDiv w:val="1"/>
      <w:marLeft w:val="0"/>
      <w:marRight w:val="0"/>
      <w:marTop w:val="0"/>
      <w:marBottom w:val="0"/>
      <w:divBdr>
        <w:top w:val="none" w:sz="0" w:space="0" w:color="auto"/>
        <w:left w:val="none" w:sz="0" w:space="0" w:color="auto"/>
        <w:bottom w:val="none" w:sz="0" w:space="0" w:color="auto"/>
        <w:right w:val="none" w:sz="0" w:space="0" w:color="auto"/>
      </w:divBdr>
      <w:divsChild>
        <w:div w:id="1907453821">
          <w:marLeft w:val="0"/>
          <w:marRight w:val="0"/>
          <w:marTop w:val="0"/>
          <w:marBottom w:val="0"/>
          <w:divBdr>
            <w:top w:val="single" w:sz="2" w:space="0" w:color="000000"/>
            <w:left w:val="single" w:sz="6" w:space="0" w:color="98989B"/>
            <w:bottom w:val="single" w:sz="6" w:space="0" w:color="000000"/>
            <w:right w:val="single" w:sz="6" w:space="0" w:color="000000"/>
          </w:divBdr>
          <w:divsChild>
            <w:div w:id="1941572128">
              <w:marLeft w:val="0"/>
              <w:marRight w:val="0"/>
              <w:marTop w:val="0"/>
              <w:marBottom w:val="0"/>
              <w:divBdr>
                <w:top w:val="single" w:sz="2" w:space="0" w:color="000000"/>
                <w:left w:val="single" w:sz="6" w:space="0" w:color="98989B"/>
                <w:bottom w:val="single" w:sz="6" w:space="0" w:color="000000"/>
                <w:right w:val="single" w:sz="6" w:space="0" w:color="000000"/>
              </w:divBdr>
              <w:divsChild>
                <w:div w:id="1442413096">
                  <w:marLeft w:val="0"/>
                  <w:marRight w:val="0"/>
                  <w:marTop w:val="0"/>
                  <w:marBottom w:val="0"/>
                  <w:divBdr>
                    <w:top w:val="single" w:sz="2" w:space="0" w:color="000000"/>
                    <w:left w:val="single" w:sz="6" w:space="0" w:color="98989B"/>
                    <w:bottom w:val="single" w:sz="6" w:space="0" w:color="000000"/>
                    <w:right w:val="single" w:sz="6" w:space="0" w:color="000000"/>
                  </w:divBdr>
                  <w:divsChild>
                    <w:div w:id="740447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47671610">
      <w:marLeft w:val="0"/>
      <w:marRight w:val="0"/>
      <w:marTop w:val="21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ainer.gondek@index-werke.d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6402D9-E022-4757-8096-8EB56E70C7A5}">
  <ds:schemaRefs>
    <ds:schemaRef ds:uri="http://schemas.openxmlformats.org/officeDocument/2006/bibliography"/>
  </ds:schemaRefs>
</ds:datastoreItem>
</file>

<file path=docMetadata/LabelInfo.xml><?xml version="1.0" encoding="utf-8"?>
<clbl:labelList xmlns:clbl="http://schemas.microsoft.com/office/2020/mipLabelMetadata">
  <clbl:label id="{2eea6b97-c9b9-4942-90af-dc922f60658c}" enabled="0" method="" siteId="{2eea6b97-c9b9-4942-90af-dc922f60658c}" removed="1"/>
</clbl:labelList>
</file>

<file path=docProps/app.xml><?xml version="1.0" encoding="utf-8"?>
<Properties xmlns="http://schemas.openxmlformats.org/officeDocument/2006/extended-properties" xmlns:vt="http://schemas.openxmlformats.org/officeDocument/2006/docPropsVTypes">
  <Template>Normal</Template>
  <TotalTime>0</TotalTime>
  <Pages>4</Pages>
  <Words>812</Words>
  <Characters>5120</Characters>
  <Application>Microsoft Office Word</Application>
  <DocSecurity>0</DocSecurity>
  <Lines>42</Lines>
  <Paragraphs>11</Paragraphs>
  <ScaleCrop>false</ScaleCrop>
  <HeadingPairs>
    <vt:vector size="2" baseType="variant">
      <vt:variant>
        <vt:lpstr>Titel</vt:lpstr>
      </vt:variant>
      <vt:variant>
        <vt:i4>1</vt:i4>
      </vt:variant>
    </vt:vector>
  </HeadingPairs>
  <TitlesOfParts>
    <vt:vector size="1" baseType="lpstr">
      <vt:lpstr>INDEX_Vorbericht AMB 2026</vt:lpstr>
    </vt:vector>
  </TitlesOfParts>
  <Company>INDEX-Werke GmbH &amp; Co. KG</Company>
  <LinksUpToDate>false</LinksUpToDate>
  <CharactersWithSpaces>5921</CharactersWithSpaces>
  <SharedDoc>false</SharedDoc>
  <HLinks>
    <vt:vector size="6" baseType="variant">
      <vt:variant>
        <vt:i4>3473413</vt:i4>
      </vt:variant>
      <vt:variant>
        <vt:i4>0</vt:i4>
      </vt:variant>
      <vt:variant>
        <vt:i4>0</vt:i4>
      </vt:variant>
      <vt:variant>
        <vt:i4>5</vt:i4>
      </vt:variant>
      <vt:variant>
        <vt:lpwstr>mailto:michael.czudaj@index-werke.de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INDEX_Vorbericht AMB 2026</dc:title>
  <dc:creator>INDEX-Werke GmbH &amp; Co. KG</dc:creator>
  <cp:lastModifiedBy>Gondek, Rainer</cp:lastModifiedBy>
  <cp:revision>9</cp:revision>
  <cp:lastPrinted>2021-06-07T16:26:00Z</cp:lastPrinted>
  <dcterms:created xsi:type="dcterms:W3CDTF">2026-07-07T12:09:00Z</dcterms:created>
  <dcterms:modified xsi:type="dcterms:W3CDTF">2026-07-24T09:47:00Z</dcterms:modified>
</cp:coreProperties>
</file>