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F015" w14:textId="1A171D29" w:rsidR="006E6820" w:rsidRPr="002219C6" w:rsidRDefault="006E6820" w:rsidP="002C056C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ind w:left="142" w:right="1692"/>
        <w:rPr>
          <w:rFonts w:ascii="Arial" w:hAnsi="Arial" w:cs="Arial"/>
          <w:sz w:val="20"/>
          <w:szCs w:val="20"/>
        </w:rPr>
      </w:pPr>
      <w:r w:rsidRPr="002219C6">
        <w:rPr>
          <w:rFonts w:ascii="Arial" w:hAnsi="Arial" w:cs="Arial"/>
          <w:sz w:val="20"/>
          <w:szCs w:val="20"/>
        </w:rPr>
        <w:t>Presseinformation</w:t>
      </w:r>
      <w:r w:rsidR="00C96D56" w:rsidRPr="002219C6">
        <w:rPr>
          <w:rFonts w:ascii="Arial" w:hAnsi="Arial" w:cs="Arial"/>
          <w:sz w:val="20"/>
          <w:szCs w:val="20"/>
        </w:rPr>
        <w:t xml:space="preserve"> vom </w:t>
      </w:r>
      <w:r w:rsidR="00743315">
        <w:rPr>
          <w:rFonts w:ascii="Arial" w:hAnsi="Arial" w:cs="Arial"/>
          <w:sz w:val="20"/>
          <w:szCs w:val="20"/>
        </w:rPr>
        <w:t>25.08.</w:t>
      </w:r>
      <w:r w:rsidR="00E7691A">
        <w:rPr>
          <w:rFonts w:ascii="Arial" w:hAnsi="Arial" w:cs="Arial"/>
          <w:sz w:val="20"/>
          <w:szCs w:val="20"/>
        </w:rPr>
        <w:t>202</w:t>
      </w:r>
      <w:r w:rsidR="009E5184">
        <w:rPr>
          <w:rFonts w:ascii="Arial" w:hAnsi="Arial" w:cs="Arial"/>
          <w:sz w:val="20"/>
          <w:szCs w:val="20"/>
        </w:rPr>
        <w:t>6</w:t>
      </w:r>
    </w:p>
    <w:p w14:paraId="1E80426D" w14:textId="77777777" w:rsidR="00D335FC" w:rsidRPr="00B2006E" w:rsidRDefault="00D335FC" w:rsidP="002C056C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ind w:left="142" w:right="1692"/>
        <w:rPr>
          <w:rFonts w:ascii="Arial" w:hAnsi="Arial" w:cs="Arial"/>
          <w:sz w:val="20"/>
          <w:szCs w:val="20"/>
        </w:rPr>
      </w:pPr>
    </w:p>
    <w:p w14:paraId="16172C3F" w14:textId="374D92A3" w:rsidR="00D335FC" w:rsidRPr="00743315" w:rsidRDefault="005B2EAC" w:rsidP="00743315">
      <w:pPr>
        <w:pStyle w:val="berschrift32"/>
        <w:suppressLineNumbers/>
        <w:shd w:val="clear" w:color="auto" w:fill="FFFFFF"/>
        <w:spacing w:line="36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Variantenreiche </w:t>
      </w:r>
      <w:r w:rsidR="009E5184">
        <w:rPr>
          <w:rFonts w:ascii="Arial" w:hAnsi="Arial" w:cs="Arial"/>
          <w:sz w:val="24"/>
          <w:szCs w:val="24"/>
        </w:rPr>
        <w:t>Dreh-Fräszentr</w:t>
      </w:r>
      <w:r w:rsidR="00743315">
        <w:rPr>
          <w:rFonts w:ascii="Arial" w:hAnsi="Arial" w:cs="Arial"/>
          <w:sz w:val="24"/>
          <w:szCs w:val="24"/>
        </w:rPr>
        <w:t>en</w:t>
      </w:r>
      <w:r w:rsidR="009E5184">
        <w:rPr>
          <w:rFonts w:ascii="Arial" w:hAnsi="Arial" w:cs="Arial"/>
          <w:sz w:val="24"/>
          <w:szCs w:val="24"/>
        </w:rPr>
        <w:t xml:space="preserve"> INDEX G160</w:t>
      </w:r>
      <w:r w:rsidR="00743315">
        <w:rPr>
          <w:rFonts w:ascii="Arial" w:hAnsi="Arial" w:cs="Arial"/>
          <w:sz w:val="24"/>
          <w:szCs w:val="24"/>
        </w:rPr>
        <w:t xml:space="preserve"> und TRAUB TNX160</w:t>
      </w:r>
      <w:r w:rsidR="00743315">
        <w:rPr>
          <w:rFonts w:ascii="Arial" w:hAnsi="Arial" w:cs="Arial"/>
          <w:sz w:val="24"/>
          <w:szCs w:val="24"/>
        </w:rPr>
        <w:br/>
      </w:r>
      <w:proofErr w:type="gramStart"/>
      <w:r>
        <w:rPr>
          <w:rFonts w:ascii="Arial" w:hAnsi="Arial" w:cs="Arial"/>
          <w:spacing w:val="-2"/>
          <w:sz w:val="32"/>
          <w:szCs w:val="32"/>
        </w:rPr>
        <w:t>Prädestiniert</w:t>
      </w:r>
      <w:proofErr w:type="gramEnd"/>
      <w:r>
        <w:rPr>
          <w:rFonts w:ascii="Arial" w:hAnsi="Arial" w:cs="Arial"/>
          <w:spacing w:val="-2"/>
          <w:sz w:val="32"/>
          <w:szCs w:val="32"/>
        </w:rPr>
        <w:t xml:space="preserve"> für kleine und komplexe Bauteile</w:t>
      </w:r>
    </w:p>
    <w:p w14:paraId="12093007" w14:textId="1BF238C0" w:rsidR="003654C4" w:rsidRDefault="009E5184" w:rsidP="00A01FCF">
      <w:pPr>
        <w:spacing w:after="360" w:line="360" w:lineRule="auto"/>
        <w:ind w:left="142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9E518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Mit dem zum Open House 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2026 </w:t>
      </w:r>
      <w:r w:rsidRPr="009E518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erstmals vorgestellten Dreh-Fräszentrum G160 rundet INDEX seine aktuelle G-Baureihe nach unten ab. </w:t>
      </w:r>
      <w:r w:rsidR="0074331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Zur AMB wird nun auch die TRAUB Variante präsentiert. </w:t>
      </w:r>
      <w:r w:rsidRPr="009E5184">
        <w:rPr>
          <w:rFonts w:ascii="Arial" w:eastAsiaTheme="minorHAnsi" w:hAnsi="Arial" w:cs="Arial"/>
          <w:b/>
          <w:sz w:val="20"/>
          <w:szCs w:val="20"/>
          <w:lang w:eastAsia="en-US"/>
        </w:rPr>
        <w:t>Die Maschine</w:t>
      </w:r>
      <w:r w:rsidR="00743315">
        <w:rPr>
          <w:rFonts w:ascii="Arial" w:eastAsiaTheme="minorHAnsi" w:hAnsi="Arial" w:cs="Arial"/>
          <w:b/>
          <w:sz w:val="20"/>
          <w:szCs w:val="20"/>
          <w:lang w:eastAsia="en-US"/>
        </w:rPr>
        <w:t>n</w:t>
      </w:r>
      <w:r w:rsidRPr="009E518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bau</w:t>
      </w:r>
      <w:r w:rsidR="0074331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en </w:t>
      </w:r>
      <w:r w:rsidRPr="009E5184">
        <w:rPr>
          <w:rFonts w:ascii="Arial" w:eastAsiaTheme="minorHAnsi" w:hAnsi="Arial" w:cs="Arial"/>
          <w:b/>
          <w:sz w:val="20"/>
          <w:szCs w:val="20"/>
          <w:lang w:eastAsia="en-US"/>
        </w:rPr>
        <w:t>konzeptionell auf der bisherigen</w:t>
      </w:r>
      <w:r w:rsidR="0074331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INDEX</w:t>
      </w:r>
      <w:r w:rsidRPr="009E518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G200.2 auf</w:t>
      </w:r>
      <w:r w:rsidR="00CB43A0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und</w:t>
      </w:r>
      <w:r w:rsidR="00EC1A51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biete</w:t>
      </w:r>
      <w:r w:rsidR="00743315">
        <w:rPr>
          <w:rFonts w:ascii="Arial" w:eastAsiaTheme="minorHAnsi" w:hAnsi="Arial" w:cs="Arial"/>
          <w:b/>
          <w:sz w:val="20"/>
          <w:szCs w:val="20"/>
          <w:lang w:eastAsia="en-US"/>
        </w:rPr>
        <w:t>n</w:t>
      </w:r>
      <w:r w:rsidR="00EC1A51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hinsichtlich der Ausstattung </w:t>
      </w:r>
      <w:r w:rsidR="009C097C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sehr </w:t>
      </w:r>
      <w:r w:rsidR="00EC1A51">
        <w:rPr>
          <w:rFonts w:ascii="Arial" w:eastAsiaTheme="minorHAnsi" w:hAnsi="Arial" w:cs="Arial"/>
          <w:b/>
          <w:sz w:val="20"/>
          <w:szCs w:val="20"/>
          <w:lang w:eastAsia="en-US"/>
        </w:rPr>
        <w:t>viele Optionen</w:t>
      </w:r>
      <w:r w:rsidRPr="009E5184">
        <w:rPr>
          <w:rFonts w:ascii="Arial" w:eastAsiaTheme="minorHAnsi" w:hAnsi="Arial" w:cs="Arial"/>
          <w:b/>
          <w:sz w:val="20"/>
          <w:szCs w:val="20"/>
          <w:lang w:eastAsia="en-US"/>
        </w:rPr>
        <w:t>.</w:t>
      </w:r>
    </w:p>
    <w:p w14:paraId="65F5DDE2" w14:textId="650E9FE3" w:rsidR="00EC1A51" w:rsidRDefault="009E5184" w:rsidP="00EC1A51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INDEX </w:t>
      </w:r>
      <w:r w:rsidR="00EC1A51">
        <w:rPr>
          <w:rFonts w:ascii="Arial" w:eastAsiaTheme="minorHAnsi" w:hAnsi="Arial" w:cs="Arial"/>
          <w:sz w:val="20"/>
          <w:szCs w:val="20"/>
          <w:lang w:eastAsia="en-US"/>
        </w:rPr>
        <w:t xml:space="preserve">hat in den letzten Jahren die Dreh-Fräszentren der G-Baureihe neu konzipiert, konstruiert und die Modelle neu geordnet. Mit 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 xml:space="preserve">neuen INDEX G160 und der TRAUB TNX160 runden </w:t>
      </w:r>
      <w:r w:rsidR="00EC1A51">
        <w:rPr>
          <w:rFonts w:ascii="Arial" w:eastAsiaTheme="minorHAnsi" w:hAnsi="Arial" w:cs="Arial"/>
          <w:sz w:val="20"/>
          <w:szCs w:val="20"/>
          <w:lang w:eastAsia="en-US"/>
        </w:rPr>
        <w:t>die Esslinger Maschinenhersteller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 nun</w:t>
      </w:r>
      <w:r w:rsidR="00EC1A51">
        <w:rPr>
          <w:rFonts w:ascii="Arial" w:eastAsiaTheme="minorHAnsi" w:hAnsi="Arial" w:cs="Arial"/>
          <w:sz w:val="20"/>
          <w:szCs w:val="20"/>
          <w:lang w:eastAsia="en-US"/>
        </w:rPr>
        <w:t xml:space="preserve"> ihr Angebot an Dreh-Fräszentren nach unten ab. Die „Kleine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EC1A51">
        <w:rPr>
          <w:rFonts w:ascii="Arial" w:eastAsiaTheme="minorHAnsi" w:hAnsi="Arial" w:cs="Arial"/>
          <w:sz w:val="20"/>
          <w:szCs w:val="20"/>
          <w:lang w:eastAsia="en-US"/>
        </w:rPr>
        <w:t>“ im Programm bau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>en</w:t>
      </w:r>
      <w:r w:rsidR="00EC1A51">
        <w:rPr>
          <w:rFonts w:ascii="Arial" w:eastAsiaTheme="minorHAnsi" w:hAnsi="Arial" w:cs="Arial"/>
          <w:sz w:val="20"/>
          <w:szCs w:val="20"/>
          <w:lang w:eastAsia="en-US"/>
        </w:rPr>
        <w:t xml:space="preserve"> zwar konzeptionell auf der bisherigen G200.2 auf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>, k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>ö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>nn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>en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 xml:space="preserve"> aber i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 xml:space="preserve">m Bereich Fräsen 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>wesentliche Verbesserungen vorweisen. Ein besonderes Merkmal ist die große Auswahl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 an Optionen hinsichtlich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 xml:space="preserve"> Spindeln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 xml:space="preserve">Werkzeugträger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>und Peripherie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 xml:space="preserve">, die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es 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 xml:space="preserve">jedem Kunden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ermöglicht, 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>eine bedarfsgerechte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>, kostenoptimierte Maschine zu konfigurieren</w:t>
      </w:r>
      <w:r w:rsidR="005C69B1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3FE22CB" w14:textId="7F9FDA02" w:rsidR="009C097C" w:rsidRPr="009C097C" w:rsidRDefault="009C097C" w:rsidP="00EC1A51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Leistungsstarke Haupt- und Gegenspindeln</w:t>
      </w:r>
    </w:p>
    <w:p w14:paraId="3CC67A3C" w14:textId="09DBCF07" w:rsidR="005C69B1" w:rsidRDefault="005C69B1" w:rsidP="00EC1A51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 xml:space="preserve">ie 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>neue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 xml:space="preserve"> Dreh-Fräszentr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>en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INDEX G160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 xml:space="preserve"> und TRAUB TNX160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 xml:space="preserve">sind 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>mit einer direktangetriebenen, daher h</w:t>
      </w:r>
      <w:r w:rsidR="009E5184" w:rsidRPr="00CE3A0D">
        <w:rPr>
          <w:rFonts w:ascii="Arial" w:eastAsiaTheme="minorHAnsi" w:hAnsi="Arial" w:cs="Arial"/>
          <w:sz w:val="20"/>
          <w:szCs w:val="20"/>
          <w:lang w:eastAsia="en-US"/>
        </w:rPr>
        <w:t>ochdynamische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9E5184" w:rsidRPr="00CE3A0D">
        <w:rPr>
          <w:rFonts w:ascii="Arial" w:eastAsiaTheme="minorHAnsi" w:hAnsi="Arial" w:cs="Arial"/>
          <w:sz w:val="20"/>
          <w:szCs w:val="20"/>
          <w:lang w:eastAsia="en-US"/>
        </w:rPr>
        <w:t xml:space="preserve"> Haupt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spindel ausgestattet, die in zwei Größen 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 xml:space="preserve">– Stangendurchlass 42 mm und 65 mm – </w:t>
      </w:r>
      <w:r>
        <w:rPr>
          <w:rFonts w:ascii="Arial" w:eastAsiaTheme="minorHAnsi" w:hAnsi="Arial" w:cs="Arial"/>
          <w:sz w:val="20"/>
          <w:szCs w:val="20"/>
          <w:lang w:eastAsia="en-US"/>
        </w:rPr>
        <w:t>zur Wahl steht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>. Aufgrund der technischen Daten (Drehzahl 7.000 / 6.000 min</w:t>
      </w:r>
      <w:r w:rsidR="00D6241F" w:rsidRPr="00D6241F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t>-1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>, Drehmoment 65 / 170 </w:t>
      </w:r>
      <w:proofErr w:type="spellStart"/>
      <w:r w:rsidR="00D6241F">
        <w:rPr>
          <w:rFonts w:ascii="Arial" w:eastAsiaTheme="minorHAnsi" w:hAnsi="Arial" w:cs="Arial"/>
          <w:sz w:val="20"/>
          <w:szCs w:val="20"/>
          <w:lang w:eastAsia="en-US"/>
        </w:rPr>
        <w:t>Nm</w:t>
      </w:r>
      <w:proofErr w:type="spellEnd"/>
      <w:r w:rsidR="00D6241F">
        <w:rPr>
          <w:rFonts w:ascii="Arial" w:eastAsiaTheme="minorHAnsi" w:hAnsi="Arial" w:cs="Arial"/>
          <w:sz w:val="20"/>
          <w:szCs w:val="20"/>
          <w:lang w:eastAsia="en-US"/>
        </w:rPr>
        <w:t xml:space="preserve">) bietet sich die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>42er-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 xml:space="preserve">Variante </w:t>
      </w:r>
      <w:r w:rsidR="00D6241F" w:rsidRPr="001A1A91">
        <w:rPr>
          <w:rFonts w:ascii="Arial" w:eastAsiaTheme="minorHAnsi" w:hAnsi="Arial" w:cs="Arial"/>
          <w:sz w:val="20"/>
          <w:szCs w:val="20"/>
          <w:lang w:eastAsia="en-US"/>
        </w:rPr>
        <w:t>für kleinere, hochdrehende Teile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 xml:space="preserve"> an, während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sich 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 xml:space="preserve">die größere auch für Einlegeteile eignet, die im bis zu 175 mm großen Spannfutter Platz finden.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Bei 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 xml:space="preserve">beiden Maschinen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>ist die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 xml:space="preserve"> Gegenspindel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6241F">
        <w:rPr>
          <w:rFonts w:ascii="Arial" w:eastAsiaTheme="minorHAnsi" w:hAnsi="Arial" w:cs="Arial"/>
          <w:sz w:val="20"/>
          <w:szCs w:val="20"/>
          <w:lang w:eastAsia="en-US"/>
        </w:rPr>
        <w:t>baugleich zur Hauptspindel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>, besitzt aber</w:t>
      </w:r>
      <w:r w:rsidR="006A05D0">
        <w:rPr>
          <w:rFonts w:ascii="Arial" w:eastAsiaTheme="minorHAnsi" w:hAnsi="Arial" w:cs="Arial"/>
          <w:sz w:val="20"/>
          <w:szCs w:val="20"/>
          <w:lang w:eastAsia="en-US"/>
        </w:rPr>
        <w:t xml:space="preserve"> eine zusätzliche</w:t>
      </w:r>
      <w:r w:rsidR="00B32BE0">
        <w:rPr>
          <w:rFonts w:ascii="Arial" w:eastAsiaTheme="minorHAnsi" w:hAnsi="Arial" w:cs="Arial"/>
          <w:sz w:val="20"/>
          <w:szCs w:val="20"/>
          <w:lang w:eastAsia="en-US"/>
        </w:rPr>
        <w:t xml:space="preserve"> Z-Achse</w:t>
      </w:r>
      <w:r w:rsidR="006A05D0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9B46E3F" w14:textId="088B5F07" w:rsidR="00207A5E" w:rsidRPr="00207A5E" w:rsidRDefault="00CB43A0" w:rsidP="009E5184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Umfangreiche Werkzeuge und </w:t>
      </w:r>
      <w:r w:rsidR="00207A5E" w:rsidRPr="00207A5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Werkzeugträger</w:t>
      </w:r>
    </w:p>
    <w:p w14:paraId="7DC8EA24" w14:textId="3D6032B6" w:rsidR="00B32BE0" w:rsidRDefault="009E5184" w:rsidP="009E5184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Die 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 xml:space="preserve">Dreh-Fräszentren </w:t>
      </w:r>
      <w:r>
        <w:rPr>
          <w:rFonts w:ascii="Arial" w:eastAsiaTheme="minorHAnsi" w:hAnsi="Arial" w:cs="Arial"/>
          <w:sz w:val="20"/>
          <w:szCs w:val="20"/>
          <w:lang w:eastAsia="en-US"/>
        </w:rPr>
        <w:t>l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>assen sich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mit</w:t>
      </w:r>
      <w:r w:rsidR="00B32BE0">
        <w:rPr>
          <w:rFonts w:ascii="Arial" w:eastAsiaTheme="minorHAnsi" w:hAnsi="Arial" w:cs="Arial"/>
          <w:sz w:val="20"/>
          <w:szCs w:val="20"/>
          <w:lang w:eastAsia="en-US"/>
        </w:rPr>
        <w:t xml:space="preserve"> zwei unteren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Werkzeugträgern </w:t>
      </w:r>
      <w:r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ausstatten, die </w:t>
      </w:r>
      <w:r w:rsidR="00556261" w:rsidRPr="00741A98">
        <w:rPr>
          <w:rFonts w:ascii="Arial" w:eastAsiaTheme="minorHAnsi" w:hAnsi="Arial" w:cs="Arial"/>
          <w:sz w:val="20"/>
          <w:szCs w:val="20"/>
          <w:lang w:eastAsia="en-US"/>
        </w:rPr>
        <w:t>serienmäßig</w:t>
      </w:r>
      <w:r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 über eine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Y-Achse verfügen und </w:t>
      </w:r>
      <w:r w:rsidR="00B32BE0">
        <w:rPr>
          <w:rFonts w:ascii="Arial" w:eastAsiaTheme="minorHAnsi" w:hAnsi="Arial" w:cs="Arial"/>
          <w:sz w:val="20"/>
          <w:szCs w:val="20"/>
          <w:lang w:eastAsia="en-US"/>
        </w:rPr>
        <w:t xml:space="preserve">sowohl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an </w:t>
      </w:r>
      <w:r w:rsidR="00B32BE0"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Haupt- </w:t>
      </w:r>
      <w:r w:rsidR="00B32BE0">
        <w:rPr>
          <w:rFonts w:ascii="Arial" w:eastAsiaTheme="minorHAnsi" w:hAnsi="Arial" w:cs="Arial"/>
          <w:sz w:val="20"/>
          <w:szCs w:val="20"/>
          <w:lang w:eastAsia="en-US"/>
        </w:rPr>
        <w:t>als auch an der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Gegenspindel arbeiten können.</w:t>
      </w:r>
      <w:r w:rsidR="00B32BE0">
        <w:rPr>
          <w:rFonts w:ascii="Arial" w:eastAsiaTheme="minorHAnsi" w:hAnsi="Arial" w:cs="Arial"/>
          <w:sz w:val="20"/>
          <w:szCs w:val="20"/>
          <w:lang w:eastAsia="en-US"/>
        </w:rPr>
        <w:t xml:space="preserve"> Die </w:t>
      </w:r>
      <w:r w:rsidR="009C097C">
        <w:rPr>
          <w:rFonts w:ascii="Arial" w:eastAsiaTheme="minorHAnsi" w:hAnsi="Arial" w:cs="Arial"/>
          <w:sz w:val="20"/>
          <w:szCs w:val="20"/>
          <w:lang w:eastAsia="en-US"/>
        </w:rPr>
        <w:t xml:space="preserve">unteren </w:t>
      </w:r>
      <w:r w:rsidR="00B32BE0">
        <w:rPr>
          <w:rFonts w:ascii="Arial" w:eastAsiaTheme="minorHAnsi" w:hAnsi="Arial" w:cs="Arial"/>
          <w:sz w:val="20"/>
          <w:szCs w:val="20"/>
          <w:lang w:eastAsia="en-US"/>
        </w:rPr>
        <w:t>Revolver besitzen 15 Stationen mit VDI 25-Schnittstelle</w:t>
      </w:r>
      <w:r w:rsidR="006A05D0">
        <w:rPr>
          <w:rFonts w:ascii="Arial" w:eastAsiaTheme="minorHAnsi" w:hAnsi="Arial" w:cs="Arial"/>
          <w:sz w:val="20"/>
          <w:szCs w:val="20"/>
          <w:lang w:eastAsia="en-US"/>
        </w:rPr>
        <w:t>, alle angetrieben mit bis zu 7.200 min</w:t>
      </w:r>
      <w:r w:rsidR="006A05D0" w:rsidRPr="009C097C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t>-1</w:t>
      </w:r>
      <w:r w:rsidR="006A05D0">
        <w:rPr>
          <w:rFonts w:ascii="Arial" w:eastAsiaTheme="minorHAnsi" w:hAnsi="Arial" w:cs="Arial"/>
          <w:sz w:val="20"/>
          <w:szCs w:val="20"/>
          <w:lang w:eastAsia="en-US"/>
        </w:rPr>
        <w:t xml:space="preserve"> (7,5 kW und18,5 </w:t>
      </w:r>
      <w:proofErr w:type="spellStart"/>
      <w:r w:rsidR="006A05D0">
        <w:rPr>
          <w:rFonts w:ascii="Arial" w:eastAsiaTheme="minorHAnsi" w:hAnsi="Arial" w:cs="Arial"/>
          <w:sz w:val="20"/>
          <w:szCs w:val="20"/>
          <w:lang w:eastAsia="en-US"/>
        </w:rPr>
        <w:t>Nm</w:t>
      </w:r>
      <w:proofErr w:type="spellEnd"/>
      <w:r w:rsidR="006A05D0">
        <w:rPr>
          <w:rFonts w:ascii="Arial" w:eastAsiaTheme="minorHAnsi" w:hAnsi="Arial" w:cs="Arial"/>
          <w:sz w:val="20"/>
          <w:szCs w:val="20"/>
          <w:lang w:eastAsia="en-US"/>
        </w:rPr>
        <w:t xml:space="preserve"> bei 25% ED). Interessantes Detail: Nur im Eingriff befindliche Werkzeuge werden mit Kühlschmierstoff beaufschlagt</w:t>
      </w:r>
      <w:r w:rsidR="00705EA2">
        <w:rPr>
          <w:rFonts w:ascii="Arial" w:eastAsiaTheme="minorHAnsi" w:hAnsi="Arial" w:cs="Arial"/>
          <w:sz w:val="20"/>
          <w:szCs w:val="20"/>
          <w:lang w:eastAsia="en-US"/>
        </w:rPr>
        <w:t>, was zu hoher Energieeffizienz beiträgt</w:t>
      </w:r>
      <w:r w:rsidR="006A05D0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14:paraId="0674AE54" w14:textId="14C4B431" w:rsidR="00CB43A0" w:rsidRDefault="00B32BE0" w:rsidP="009F50B0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Für den oberen Werkzeugträger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C097C" w:rsidRPr="00741A98">
        <w:rPr>
          <w:rFonts w:ascii="Arial" w:eastAsiaTheme="minorHAnsi" w:hAnsi="Arial" w:cs="Arial"/>
          <w:sz w:val="20"/>
          <w:szCs w:val="20"/>
          <w:lang w:eastAsia="en-US"/>
        </w:rPr>
        <w:t>steh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 de</w:t>
      </w:r>
      <w:r w:rsidR="009C097C" w:rsidRPr="00741A98">
        <w:rPr>
          <w:rFonts w:ascii="Arial" w:eastAsiaTheme="minorHAnsi" w:hAnsi="Arial" w:cs="Arial"/>
          <w:sz w:val="20"/>
          <w:szCs w:val="20"/>
          <w:lang w:eastAsia="en-US"/>
        </w:rPr>
        <w:t>m</w:t>
      </w:r>
      <w:r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 Kunde 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>eine leistungsstarke Motorfrässpindel mit B</w:t>
      </w:r>
      <w:r w:rsidR="009E5184"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-Achse 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>zur Verfügung</w:t>
      </w:r>
      <w:r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6A05D0">
        <w:rPr>
          <w:rFonts w:ascii="Arial" w:eastAsiaTheme="minorHAnsi" w:hAnsi="Arial" w:cs="Arial"/>
          <w:sz w:val="20"/>
          <w:szCs w:val="20"/>
          <w:lang w:eastAsia="en-US"/>
        </w:rPr>
        <w:t xml:space="preserve">Die 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>sehr ko</w:t>
      </w:r>
      <w:r w:rsidR="00BC3AE0">
        <w:rPr>
          <w:rFonts w:ascii="Arial" w:eastAsiaTheme="minorHAnsi" w:hAnsi="Arial" w:cs="Arial"/>
          <w:sz w:val="20"/>
          <w:szCs w:val="20"/>
          <w:lang w:eastAsia="en-US"/>
        </w:rPr>
        <w:t xml:space="preserve">mpakte, 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 xml:space="preserve">direktangetriebene Frässpindel </w:t>
      </w:r>
      <w:r w:rsidR="00207A5E">
        <w:rPr>
          <w:rFonts w:ascii="Arial" w:eastAsiaTheme="minorHAnsi" w:hAnsi="Arial" w:cs="Arial"/>
          <w:sz w:val="20"/>
          <w:szCs w:val="20"/>
          <w:lang w:eastAsia="en-US"/>
        </w:rPr>
        <w:t>mit HSK-T40-Schnittstelle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207A5E">
        <w:rPr>
          <w:rFonts w:ascii="Arial" w:eastAsiaTheme="minorHAnsi" w:hAnsi="Arial" w:cs="Arial"/>
          <w:sz w:val="20"/>
          <w:szCs w:val="20"/>
          <w:lang w:eastAsia="en-US"/>
        </w:rPr>
        <w:t xml:space="preserve">gibt 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 xml:space="preserve">es </w:t>
      </w:r>
      <w:r w:rsidR="00207A5E">
        <w:rPr>
          <w:rFonts w:ascii="Arial" w:eastAsiaTheme="minorHAnsi" w:hAnsi="Arial" w:cs="Arial"/>
          <w:sz w:val="20"/>
          <w:szCs w:val="20"/>
          <w:lang w:eastAsia="en-US"/>
        </w:rPr>
        <w:t>in zwei zu den Hauptspindeln passenden Versionen – mit 32.000 min</w:t>
      </w:r>
      <w:r w:rsidR="00207A5E" w:rsidRPr="00207A5E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t>-1</w:t>
      </w:r>
      <w:r w:rsidR="00207A5E">
        <w:rPr>
          <w:rFonts w:ascii="Arial" w:eastAsiaTheme="minorHAnsi" w:hAnsi="Arial" w:cs="Arial"/>
          <w:sz w:val="20"/>
          <w:szCs w:val="20"/>
          <w:lang w:eastAsia="en-US"/>
        </w:rPr>
        <w:t xml:space="preserve"> (17 </w:t>
      </w:r>
      <w:proofErr w:type="spellStart"/>
      <w:r w:rsidR="00207A5E">
        <w:rPr>
          <w:rFonts w:ascii="Arial" w:eastAsiaTheme="minorHAnsi" w:hAnsi="Arial" w:cs="Arial"/>
          <w:sz w:val="20"/>
          <w:szCs w:val="20"/>
          <w:lang w:eastAsia="en-US"/>
        </w:rPr>
        <w:t>Nm</w:t>
      </w:r>
      <w:proofErr w:type="spellEnd"/>
      <w:r w:rsidR="00207A5E">
        <w:rPr>
          <w:rFonts w:ascii="Arial" w:eastAsiaTheme="minorHAnsi" w:hAnsi="Arial" w:cs="Arial"/>
          <w:sz w:val="20"/>
          <w:szCs w:val="20"/>
          <w:lang w:eastAsia="en-US"/>
        </w:rPr>
        <w:t>) und mit 18.000 min</w:t>
      </w:r>
      <w:r w:rsidR="00207A5E" w:rsidRPr="00207A5E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t>-1</w:t>
      </w:r>
      <w:r w:rsidR="00207A5E">
        <w:rPr>
          <w:rFonts w:ascii="Arial" w:eastAsiaTheme="minorHAnsi" w:hAnsi="Arial" w:cs="Arial"/>
          <w:sz w:val="20"/>
          <w:szCs w:val="20"/>
          <w:lang w:eastAsia="en-US"/>
        </w:rPr>
        <w:t xml:space="preserve"> (29 </w:t>
      </w:r>
      <w:proofErr w:type="spellStart"/>
      <w:r w:rsidR="00207A5E">
        <w:rPr>
          <w:rFonts w:ascii="Arial" w:eastAsiaTheme="minorHAnsi" w:hAnsi="Arial" w:cs="Arial"/>
          <w:sz w:val="20"/>
          <w:szCs w:val="20"/>
          <w:lang w:eastAsia="en-US"/>
        </w:rPr>
        <w:t>Nm</w:t>
      </w:r>
      <w:proofErr w:type="spellEnd"/>
      <w:r w:rsidR="00207A5E">
        <w:rPr>
          <w:rFonts w:ascii="Arial" w:eastAsiaTheme="minorHAnsi" w:hAnsi="Arial" w:cs="Arial"/>
          <w:sz w:val="20"/>
          <w:szCs w:val="20"/>
          <w:lang w:eastAsia="en-US"/>
        </w:rPr>
        <w:t xml:space="preserve">). </w:t>
      </w:r>
      <w:r w:rsidR="00BC3AE0">
        <w:rPr>
          <w:rFonts w:ascii="Arial" w:eastAsiaTheme="minorHAnsi" w:hAnsi="Arial" w:cs="Arial"/>
          <w:sz w:val="20"/>
          <w:szCs w:val="20"/>
          <w:lang w:eastAsia="en-US"/>
        </w:rPr>
        <w:t>Beide</w:t>
      </w:r>
      <w:r w:rsidR="00705EA2">
        <w:rPr>
          <w:rFonts w:ascii="Arial" w:eastAsiaTheme="minorHAnsi" w:hAnsi="Arial" w:cs="Arial"/>
          <w:sz w:val="20"/>
          <w:szCs w:val="20"/>
          <w:lang w:eastAsia="en-US"/>
        </w:rPr>
        <w:t xml:space="preserve"> lassen eine innere Kühlmittelzufuhr von bis zu 80 bar zu, was Vorteile bei tiefen Bohrungen und schwer zerspanbaren Materialen verspricht. </w:t>
      </w:r>
    </w:p>
    <w:p w14:paraId="3726F8AB" w14:textId="7F527AEE" w:rsidR="009E5184" w:rsidRDefault="00743315" w:rsidP="009F50B0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Die G160 oder die TNX160</w:t>
      </w:r>
      <w:r w:rsidR="00CB43A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80E86" w:rsidRPr="00080E86">
        <w:rPr>
          <w:rFonts w:ascii="Arial" w:eastAsiaTheme="minorHAnsi" w:hAnsi="Arial" w:cs="Arial"/>
          <w:sz w:val="20"/>
          <w:szCs w:val="20"/>
          <w:lang w:eastAsia="en-US"/>
        </w:rPr>
        <w:t xml:space="preserve">bedient sich aus dem </w:t>
      </w:r>
      <w:r w:rsidR="00080E86">
        <w:rPr>
          <w:rFonts w:ascii="Arial" w:eastAsiaTheme="minorHAnsi" w:hAnsi="Arial" w:cs="Arial"/>
          <w:sz w:val="20"/>
          <w:szCs w:val="20"/>
          <w:lang w:eastAsia="en-US"/>
        </w:rPr>
        <w:t xml:space="preserve">neu entwickelten </w:t>
      </w:r>
      <w:r w:rsidR="00080E86" w:rsidRPr="00080E86">
        <w:rPr>
          <w:rFonts w:ascii="Arial" w:eastAsiaTheme="minorHAnsi" w:hAnsi="Arial" w:cs="Arial"/>
          <w:sz w:val="20"/>
          <w:szCs w:val="20"/>
          <w:lang w:eastAsia="en-US"/>
        </w:rPr>
        <w:t>Werkzeugmagazin.</w:t>
      </w:r>
      <w:r w:rsidR="009F50B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80E86">
        <w:rPr>
          <w:rFonts w:ascii="Arial" w:eastAsiaTheme="minorHAnsi" w:hAnsi="Arial" w:cs="Arial"/>
          <w:sz w:val="20"/>
          <w:szCs w:val="20"/>
          <w:lang w:eastAsia="en-US"/>
        </w:rPr>
        <w:t xml:space="preserve">Dabei handelt es sich um 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>ein Turmmagazin mit 60 oder 90 Werkzeugen</w:t>
      </w:r>
      <w:r w:rsidR="00080E86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F50B0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>in Doppelgreifer</w:t>
      </w:r>
      <w:r w:rsidR="009F50B0">
        <w:rPr>
          <w:rFonts w:ascii="Arial" w:eastAsiaTheme="minorHAnsi" w:hAnsi="Arial" w:cs="Arial"/>
          <w:sz w:val="20"/>
          <w:szCs w:val="20"/>
          <w:lang w:eastAsia="en-US"/>
        </w:rPr>
        <w:t xml:space="preserve"> wechselt die Werkzeuge </w:t>
      </w:r>
      <w:r w:rsidR="00810C19">
        <w:rPr>
          <w:rFonts w:ascii="Arial" w:eastAsiaTheme="minorHAnsi" w:hAnsi="Arial" w:cs="Arial"/>
          <w:sz w:val="20"/>
          <w:szCs w:val="20"/>
          <w:lang w:eastAsia="en-US"/>
        </w:rPr>
        <w:t xml:space="preserve">automatisch 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 xml:space="preserve">in </w:t>
      </w:r>
      <w:r w:rsidR="00810C19">
        <w:rPr>
          <w:rFonts w:ascii="Arial" w:eastAsiaTheme="minorHAnsi" w:hAnsi="Arial" w:cs="Arial"/>
          <w:sz w:val="20"/>
          <w:szCs w:val="20"/>
          <w:lang w:eastAsia="en-US"/>
        </w:rPr>
        <w:t>die</w:t>
      </w:r>
      <w:r w:rsidR="009E5184">
        <w:rPr>
          <w:rFonts w:ascii="Arial" w:eastAsiaTheme="minorHAnsi" w:hAnsi="Arial" w:cs="Arial"/>
          <w:sz w:val="20"/>
          <w:szCs w:val="20"/>
          <w:lang w:eastAsia="en-US"/>
        </w:rPr>
        <w:t xml:space="preserve"> Frässpindel.</w:t>
      </w:r>
    </w:p>
    <w:p w14:paraId="5F78965B" w14:textId="04D03489" w:rsidR="00BC3AE0" w:rsidRDefault="00810C19" w:rsidP="00DB7DF8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Umfangreiche </w:t>
      </w:r>
      <w:r w:rsidR="009F50B0" w:rsidRPr="009F50B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Automatisierung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smöglichkeiten</w:t>
      </w:r>
    </w:p>
    <w:p w14:paraId="682F6438" w14:textId="06885DA9" w:rsidR="009F50B0" w:rsidRDefault="00810C19" w:rsidP="00DB7DF8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Die einfachste Art der Automatisierung ist ein </w:t>
      </w:r>
      <w:r w:rsidR="009F50B0">
        <w:rPr>
          <w:rFonts w:ascii="Arial" w:eastAsiaTheme="minorHAnsi" w:hAnsi="Arial" w:cs="Arial"/>
          <w:sz w:val="20"/>
          <w:szCs w:val="20"/>
          <w:lang w:eastAsia="en-US"/>
        </w:rPr>
        <w:t>Stangenlademagazin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, für das die INDEX G160 </w:t>
      </w:r>
      <w:r w:rsidR="00743315">
        <w:rPr>
          <w:rFonts w:ascii="Arial" w:eastAsiaTheme="minorHAnsi" w:hAnsi="Arial" w:cs="Arial"/>
          <w:sz w:val="20"/>
          <w:szCs w:val="20"/>
          <w:lang w:eastAsia="en-US"/>
        </w:rPr>
        <w:t xml:space="preserve">sowie die TRAUB TNX160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eine </w:t>
      </w:r>
      <w:proofErr w:type="spellStart"/>
      <w:r w:rsidRPr="00810C19">
        <w:rPr>
          <w:rFonts w:ascii="Arial" w:eastAsiaTheme="minorHAnsi" w:hAnsi="Arial" w:cs="Arial"/>
          <w:sz w:val="20"/>
          <w:szCs w:val="20"/>
          <w:lang w:eastAsia="en-US"/>
        </w:rPr>
        <w:t>Unimag</w:t>
      </w:r>
      <w:proofErr w:type="spellEnd"/>
      <w:r w:rsidR="00EF604A">
        <w:rPr>
          <w:rFonts w:ascii="Arial" w:eastAsiaTheme="minorHAnsi" w:hAnsi="Arial" w:cs="Arial"/>
          <w:sz w:val="20"/>
          <w:szCs w:val="20"/>
          <w:lang w:eastAsia="en-US"/>
        </w:rPr>
        <w:t> 5</w:t>
      </w:r>
      <w:r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Schnittstelle bereitstellt. Darüber lässt sich </w:t>
      </w:r>
      <w:r w:rsidR="00EF604A"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zum einen </w:t>
      </w:r>
      <w:r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der INDEX MBL 76-Lader anschließen, </w:t>
      </w:r>
      <w:r w:rsidR="00A96079"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den es für </w:t>
      </w:r>
      <w:r w:rsidR="006F02BF" w:rsidRPr="00741A98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="00A96079"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 m- oder </w:t>
      </w:r>
      <w:r w:rsidR="006F02BF" w:rsidRPr="00741A98">
        <w:rPr>
          <w:rFonts w:ascii="Arial" w:eastAsiaTheme="minorHAnsi" w:hAnsi="Arial" w:cs="Arial"/>
          <w:sz w:val="20"/>
          <w:szCs w:val="20"/>
          <w:lang w:eastAsia="en-US"/>
        </w:rPr>
        <w:t>4</w:t>
      </w:r>
      <w:r w:rsidR="00A96079" w:rsidRPr="00741A98">
        <w:rPr>
          <w:rFonts w:ascii="Arial" w:eastAsiaTheme="minorHAnsi" w:hAnsi="Arial" w:cs="Arial"/>
          <w:sz w:val="20"/>
          <w:szCs w:val="20"/>
          <w:lang w:eastAsia="en-US"/>
        </w:rPr>
        <w:t xml:space="preserve"> m-Stangen </w:t>
      </w:r>
      <w:r w:rsidR="00A96079">
        <w:rPr>
          <w:rFonts w:ascii="Arial" w:eastAsiaTheme="minorHAnsi" w:hAnsi="Arial" w:cs="Arial"/>
          <w:sz w:val="20"/>
          <w:szCs w:val="20"/>
          <w:lang w:eastAsia="en-US"/>
        </w:rPr>
        <w:t xml:space="preserve">gibt und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 w:rsidR="00A96079">
        <w:rPr>
          <w:rFonts w:ascii="Arial" w:eastAsiaTheme="minorHAnsi" w:hAnsi="Arial" w:cs="Arial"/>
          <w:sz w:val="20"/>
          <w:szCs w:val="20"/>
          <w:lang w:eastAsia="en-US"/>
        </w:rPr>
        <w:t>beste Führungseigenschaften</w:t>
      </w:r>
      <w:proofErr w:type="gramEnd"/>
      <w:r w:rsidR="00A96079">
        <w:rPr>
          <w:rFonts w:ascii="Arial" w:eastAsiaTheme="minorHAnsi" w:hAnsi="Arial" w:cs="Arial"/>
          <w:sz w:val="20"/>
          <w:szCs w:val="20"/>
          <w:lang w:eastAsia="en-US"/>
        </w:rPr>
        <w:t xml:space="preserve"> aufweist. </w:t>
      </w:r>
      <w:r w:rsidR="00EF604A">
        <w:rPr>
          <w:rFonts w:ascii="Arial" w:eastAsiaTheme="minorHAnsi" w:hAnsi="Arial" w:cs="Arial"/>
          <w:sz w:val="20"/>
          <w:szCs w:val="20"/>
          <w:lang w:eastAsia="en-US"/>
        </w:rPr>
        <w:t xml:space="preserve">Zum andern lässt die Schnittstelle </w:t>
      </w:r>
      <w:r w:rsidR="00256628">
        <w:rPr>
          <w:rFonts w:ascii="Arial" w:eastAsiaTheme="minorHAnsi" w:hAnsi="Arial" w:cs="Arial"/>
          <w:sz w:val="20"/>
          <w:szCs w:val="20"/>
          <w:lang w:eastAsia="en-US"/>
        </w:rPr>
        <w:t xml:space="preserve">auch Fremdfabrikate zu. INDEX </w:t>
      </w:r>
      <w:r w:rsidR="00A96079">
        <w:rPr>
          <w:rFonts w:ascii="Arial" w:eastAsiaTheme="minorHAnsi" w:hAnsi="Arial" w:cs="Arial"/>
          <w:sz w:val="20"/>
          <w:szCs w:val="20"/>
          <w:lang w:eastAsia="en-US"/>
        </w:rPr>
        <w:t xml:space="preserve">bietet </w:t>
      </w:r>
      <w:r w:rsidR="00256628">
        <w:rPr>
          <w:rFonts w:ascii="Arial" w:eastAsiaTheme="minorHAnsi" w:hAnsi="Arial" w:cs="Arial"/>
          <w:sz w:val="20"/>
          <w:szCs w:val="20"/>
          <w:lang w:eastAsia="en-US"/>
        </w:rPr>
        <w:t>beispielsweise Kurzstangenlader von</w:t>
      </w:r>
      <w:r w:rsidR="00A96079">
        <w:rPr>
          <w:rFonts w:ascii="Arial" w:eastAsiaTheme="minorHAnsi" w:hAnsi="Arial" w:cs="Arial"/>
          <w:sz w:val="20"/>
          <w:szCs w:val="20"/>
          <w:lang w:eastAsia="en-US"/>
        </w:rPr>
        <w:t xml:space="preserve"> Breuning an.</w:t>
      </w:r>
    </w:p>
    <w:p w14:paraId="4B81D172" w14:textId="25778014" w:rsidR="00B500F4" w:rsidRDefault="00A96079" w:rsidP="00B500F4">
      <w:pPr>
        <w:spacing w:after="200" w:line="360" w:lineRule="auto"/>
        <w:ind w:left="14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Zur </w:t>
      </w:r>
      <w:r w:rsidR="009F50B0" w:rsidRPr="009F50B0">
        <w:rPr>
          <w:rFonts w:ascii="Arial" w:hAnsi="Arial" w:cs="Arial"/>
          <w:bCs/>
          <w:sz w:val="20"/>
          <w:szCs w:val="20"/>
        </w:rPr>
        <w:t xml:space="preserve">Teileabführung </w:t>
      </w:r>
      <w:r>
        <w:rPr>
          <w:rFonts w:ascii="Arial" w:hAnsi="Arial" w:cs="Arial"/>
          <w:bCs/>
          <w:sz w:val="20"/>
          <w:szCs w:val="20"/>
        </w:rPr>
        <w:t>ist die klassische Lösung eine</w:t>
      </w:r>
      <w:r w:rsidR="009F50B0" w:rsidRPr="009F50B0">
        <w:rPr>
          <w:rFonts w:ascii="Arial" w:hAnsi="Arial" w:cs="Arial"/>
          <w:bCs/>
          <w:sz w:val="20"/>
          <w:szCs w:val="20"/>
        </w:rPr>
        <w:t xml:space="preserve"> Lineareinheit</w:t>
      </w:r>
      <w:r>
        <w:rPr>
          <w:rFonts w:ascii="Arial" w:hAnsi="Arial" w:cs="Arial"/>
          <w:bCs/>
          <w:sz w:val="20"/>
          <w:szCs w:val="20"/>
        </w:rPr>
        <w:t>, die das</w:t>
      </w:r>
      <w:r w:rsidR="009F50B0" w:rsidRPr="009F50B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Fertigteil abgreift und auf ein</w:t>
      </w:r>
      <w:r w:rsidR="009F50B0" w:rsidRPr="009F50B0">
        <w:rPr>
          <w:rFonts w:ascii="Arial" w:hAnsi="Arial" w:cs="Arial"/>
          <w:bCs/>
          <w:sz w:val="20"/>
          <w:szCs w:val="20"/>
        </w:rPr>
        <w:t xml:space="preserve"> Transportband</w:t>
      </w:r>
      <w:r>
        <w:rPr>
          <w:rFonts w:ascii="Arial" w:hAnsi="Arial" w:cs="Arial"/>
          <w:bCs/>
          <w:sz w:val="20"/>
          <w:szCs w:val="20"/>
        </w:rPr>
        <w:t xml:space="preserve"> ablegt. Deutlich mehr </w:t>
      </w:r>
      <w:proofErr w:type="gramStart"/>
      <w:r>
        <w:rPr>
          <w:rFonts w:ascii="Arial" w:hAnsi="Arial" w:cs="Arial"/>
          <w:bCs/>
          <w:sz w:val="20"/>
          <w:szCs w:val="20"/>
        </w:rPr>
        <w:t>Möglichkeiten bietet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die von INDEX </w:t>
      </w:r>
      <w:proofErr w:type="gramStart"/>
      <w:r>
        <w:rPr>
          <w:rFonts w:ascii="Arial" w:hAnsi="Arial" w:cs="Arial"/>
          <w:bCs/>
          <w:sz w:val="20"/>
          <w:szCs w:val="20"/>
        </w:rPr>
        <w:t>entwickelte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integrierte Werkstückhandhabung </w:t>
      </w:r>
      <w:r w:rsidR="009F50B0" w:rsidRPr="009F50B0">
        <w:rPr>
          <w:rFonts w:ascii="Arial" w:hAnsi="Arial" w:cs="Arial"/>
          <w:bCs/>
          <w:sz w:val="20"/>
          <w:szCs w:val="20"/>
        </w:rPr>
        <w:t>WHU</w:t>
      </w:r>
      <w:r>
        <w:rPr>
          <w:rFonts w:ascii="Arial" w:hAnsi="Arial" w:cs="Arial"/>
          <w:bCs/>
          <w:sz w:val="20"/>
          <w:szCs w:val="20"/>
        </w:rPr>
        <w:t>. Sie i</w:t>
      </w:r>
      <w:r w:rsidRPr="00A96079">
        <w:rPr>
          <w:rFonts w:ascii="Arial" w:hAnsi="Arial" w:cs="Arial"/>
          <w:bCs/>
          <w:sz w:val="20"/>
          <w:szCs w:val="20"/>
        </w:rPr>
        <w:t xml:space="preserve">st </w:t>
      </w:r>
      <w:r w:rsidRPr="00741A98">
        <w:rPr>
          <w:rFonts w:ascii="Arial" w:hAnsi="Arial" w:cs="Arial"/>
          <w:bCs/>
          <w:sz w:val="20"/>
          <w:szCs w:val="20"/>
        </w:rPr>
        <w:t xml:space="preserve">mit </w:t>
      </w:r>
      <w:r w:rsidR="002F1515" w:rsidRPr="00741A98">
        <w:rPr>
          <w:rFonts w:ascii="Arial" w:hAnsi="Arial" w:cs="Arial"/>
          <w:bCs/>
          <w:sz w:val="20"/>
          <w:szCs w:val="20"/>
        </w:rPr>
        <w:t>drei Achsen</w:t>
      </w:r>
      <w:r w:rsidRPr="00741A98">
        <w:rPr>
          <w:rFonts w:ascii="Arial" w:hAnsi="Arial" w:cs="Arial"/>
          <w:bCs/>
          <w:sz w:val="20"/>
          <w:szCs w:val="20"/>
        </w:rPr>
        <w:t xml:space="preserve"> ausgestattet und kann für die Be- und Entladung sowie für die Reststückabführung eingesetzt werden.</w:t>
      </w:r>
      <w:r w:rsidR="00B500F4" w:rsidRPr="00741A98">
        <w:rPr>
          <w:rFonts w:ascii="Arial" w:hAnsi="Arial" w:cs="Arial"/>
          <w:bCs/>
          <w:sz w:val="20"/>
          <w:szCs w:val="20"/>
        </w:rPr>
        <w:t xml:space="preserve"> High-End-Automatisierung </w:t>
      </w:r>
      <w:r w:rsidR="00256628" w:rsidRPr="00741A98">
        <w:rPr>
          <w:rFonts w:ascii="Arial" w:hAnsi="Arial" w:cs="Arial"/>
          <w:bCs/>
          <w:sz w:val="20"/>
          <w:szCs w:val="20"/>
        </w:rPr>
        <w:t>gibt es</w:t>
      </w:r>
      <w:r w:rsidR="00B500F4" w:rsidRPr="00741A98">
        <w:rPr>
          <w:rFonts w:ascii="Arial" w:hAnsi="Arial" w:cs="Arial"/>
          <w:bCs/>
          <w:sz w:val="20"/>
          <w:szCs w:val="20"/>
        </w:rPr>
        <w:t xml:space="preserve"> mit </w:t>
      </w:r>
      <w:r w:rsidR="00256628" w:rsidRPr="00741A98">
        <w:rPr>
          <w:rFonts w:ascii="Arial" w:hAnsi="Arial" w:cs="Arial"/>
          <w:bCs/>
          <w:sz w:val="20"/>
          <w:szCs w:val="20"/>
        </w:rPr>
        <w:t>der</w:t>
      </w:r>
      <w:r w:rsidR="00B500F4" w:rsidRPr="00741A98">
        <w:rPr>
          <w:rFonts w:ascii="Arial" w:hAnsi="Arial" w:cs="Arial"/>
          <w:bCs/>
          <w:sz w:val="20"/>
          <w:szCs w:val="20"/>
        </w:rPr>
        <w:t xml:space="preserve"> </w:t>
      </w:r>
      <w:r w:rsidR="00256628" w:rsidRPr="00741A98">
        <w:rPr>
          <w:rFonts w:ascii="Arial" w:hAnsi="Arial" w:cs="Arial"/>
          <w:bCs/>
          <w:sz w:val="20"/>
          <w:szCs w:val="20"/>
        </w:rPr>
        <w:t>INDEX-</w:t>
      </w:r>
      <w:r w:rsidR="00B500F4" w:rsidRPr="00741A98">
        <w:rPr>
          <w:rFonts w:ascii="Arial" w:hAnsi="Arial" w:cs="Arial"/>
          <w:bCs/>
          <w:sz w:val="20"/>
          <w:szCs w:val="20"/>
        </w:rPr>
        <w:t xml:space="preserve">Roboterzelle </w:t>
      </w:r>
      <w:r w:rsidR="00B500F4" w:rsidRPr="00B500F4">
        <w:rPr>
          <w:rFonts w:ascii="Arial" w:hAnsi="Arial" w:cs="Arial"/>
          <w:bCs/>
          <w:sz w:val="20"/>
          <w:szCs w:val="20"/>
        </w:rPr>
        <w:t>iXcenter</w:t>
      </w:r>
      <w:r w:rsidR="00B500F4">
        <w:rPr>
          <w:rFonts w:ascii="Arial" w:hAnsi="Arial" w:cs="Arial"/>
          <w:bCs/>
          <w:sz w:val="20"/>
          <w:szCs w:val="20"/>
        </w:rPr>
        <w:t xml:space="preserve">, die mit einem </w:t>
      </w:r>
      <w:proofErr w:type="spellStart"/>
      <w:r w:rsidR="00B500F4">
        <w:rPr>
          <w:rFonts w:ascii="Arial" w:hAnsi="Arial" w:cs="Arial"/>
          <w:bCs/>
          <w:sz w:val="20"/>
          <w:szCs w:val="20"/>
        </w:rPr>
        <w:t>P</w:t>
      </w:r>
      <w:r w:rsidR="00B500F4" w:rsidRPr="00B500F4">
        <w:rPr>
          <w:rFonts w:ascii="Arial" w:hAnsi="Arial" w:cs="Arial"/>
          <w:bCs/>
          <w:sz w:val="20"/>
          <w:szCs w:val="20"/>
        </w:rPr>
        <w:t>alettenspeicher</w:t>
      </w:r>
      <w:proofErr w:type="spellEnd"/>
      <w:r w:rsidR="00B500F4" w:rsidRPr="00B500F4">
        <w:rPr>
          <w:rFonts w:ascii="Arial" w:hAnsi="Arial" w:cs="Arial"/>
          <w:bCs/>
          <w:sz w:val="20"/>
          <w:szCs w:val="20"/>
        </w:rPr>
        <w:t xml:space="preserve"> den vollautomatisierten Betrieb unterstützt. Sie wird an die Maschine angedockt, um dann Roh- und /oder Fertigteile schnell, sicher und flexibel zu- und abzuführen. Auch nachgeschaltete Prozesse wie Reinigen, Messen, Entgraten usw. können in die Roboterzelle integriert werden.</w:t>
      </w:r>
    </w:p>
    <w:p w14:paraId="6647D650" w14:textId="38B9A63F" w:rsidR="00566436" w:rsidRDefault="00B500F4" w:rsidP="00566436">
      <w:pPr>
        <w:spacing w:after="200" w:line="360" w:lineRule="auto"/>
        <w:ind w:left="14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Für eine automatisierte Bearbeitung ist es unerlässlich, </w:t>
      </w:r>
      <w:r w:rsidR="009F50B0" w:rsidRPr="009F50B0">
        <w:rPr>
          <w:rFonts w:ascii="Arial" w:hAnsi="Arial" w:cs="Arial"/>
          <w:bCs/>
          <w:sz w:val="20"/>
          <w:szCs w:val="20"/>
        </w:rPr>
        <w:t xml:space="preserve">Werkzeuge innerhalb der Maschine zu prüfen und zu vermessen. </w:t>
      </w:r>
      <w:r>
        <w:rPr>
          <w:rFonts w:ascii="Arial" w:hAnsi="Arial" w:cs="Arial"/>
          <w:bCs/>
          <w:sz w:val="20"/>
          <w:szCs w:val="20"/>
        </w:rPr>
        <w:t xml:space="preserve">INDEX </w:t>
      </w:r>
      <w:r w:rsidR="00256628">
        <w:rPr>
          <w:rFonts w:ascii="Arial" w:hAnsi="Arial" w:cs="Arial"/>
          <w:bCs/>
          <w:sz w:val="20"/>
          <w:szCs w:val="20"/>
        </w:rPr>
        <w:t>hat</w:t>
      </w:r>
      <w:r>
        <w:rPr>
          <w:rFonts w:ascii="Arial" w:hAnsi="Arial" w:cs="Arial"/>
          <w:bCs/>
          <w:sz w:val="20"/>
          <w:szCs w:val="20"/>
        </w:rPr>
        <w:t xml:space="preserve"> hierfür </w:t>
      </w:r>
      <w:r w:rsidRPr="00B500F4">
        <w:rPr>
          <w:rFonts w:ascii="Arial" w:hAnsi="Arial" w:cs="Arial"/>
          <w:bCs/>
          <w:sz w:val="20"/>
          <w:szCs w:val="20"/>
        </w:rPr>
        <w:t xml:space="preserve">verschiedene </w:t>
      </w:r>
      <w:r>
        <w:rPr>
          <w:rFonts w:ascii="Arial" w:hAnsi="Arial" w:cs="Arial"/>
          <w:bCs/>
          <w:sz w:val="20"/>
          <w:szCs w:val="20"/>
        </w:rPr>
        <w:t xml:space="preserve">Systeme </w:t>
      </w:r>
      <w:r w:rsidR="00256628">
        <w:rPr>
          <w:rFonts w:ascii="Arial" w:hAnsi="Arial" w:cs="Arial"/>
          <w:bCs/>
          <w:sz w:val="20"/>
          <w:szCs w:val="20"/>
        </w:rPr>
        <w:t>im Programm</w:t>
      </w:r>
      <w:r w:rsidRPr="00B500F4">
        <w:rPr>
          <w:rFonts w:ascii="Arial" w:hAnsi="Arial" w:cs="Arial"/>
          <w:bCs/>
          <w:sz w:val="20"/>
          <w:szCs w:val="20"/>
        </w:rPr>
        <w:t xml:space="preserve">, </w:t>
      </w:r>
      <w:r w:rsidR="00566436">
        <w:rPr>
          <w:rFonts w:ascii="Arial" w:hAnsi="Arial" w:cs="Arial"/>
          <w:bCs/>
          <w:sz w:val="20"/>
          <w:szCs w:val="20"/>
        </w:rPr>
        <w:t xml:space="preserve">von taktilen Verfahren bis hin zum Laser, der an den Werkzeugen </w:t>
      </w:r>
      <w:r w:rsidR="00CB43A0">
        <w:rPr>
          <w:rFonts w:ascii="Arial" w:hAnsi="Arial" w:cs="Arial"/>
          <w:bCs/>
          <w:sz w:val="20"/>
          <w:szCs w:val="20"/>
        </w:rPr>
        <w:t>in der M</w:t>
      </w:r>
      <w:r w:rsidR="00566436" w:rsidRPr="00566436">
        <w:rPr>
          <w:rFonts w:ascii="Arial" w:hAnsi="Arial" w:cs="Arial"/>
          <w:bCs/>
          <w:sz w:val="20"/>
          <w:szCs w:val="20"/>
        </w:rPr>
        <w:t xml:space="preserve">otorfrässpindel </w:t>
      </w:r>
      <w:r w:rsidR="00566436">
        <w:rPr>
          <w:rFonts w:ascii="Arial" w:hAnsi="Arial" w:cs="Arial"/>
          <w:bCs/>
          <w:sz w:val="20"/>
          <w:szCs w:val="20"/>
        </w:rPr>
        <w:t>berührungslos</w:t>
      </w:r>
      <w:r w:rsidR="00566436" w:rsidRPr="00566436">
        <w:rPr>
          <w:rFonts w:ascii="Arial" w:hAnsi="Arial" w:cs="Arial"/>
          <w:bCs/>
          <w:sz w:val="20"/>
          <w:szCs w:val="20"/>
        </w:rPr>
        <w:t xml:space="preserve"> geometrische Veränderungen und </w:t>
      </w:r>
      <w:proofErr w:type="spellStart"/>
      <w:r w:rsidR="00566436">
        <w:rPr>
          <w:rFonts w:ascii="Arial" w:hAnsi="Arial" w:cs="Arial"/>
          <w:bCs/>
          <w:sz w:val="20"/>
          <w:szCs w:val="20"/>
        </w:rPr>
        <w:t>Schneidenv</w:t>
      </w:r>
      <w:r w:rsidR="00566436" w:rsidRPr="00566436">
        <w:rPr>
          <w:rFonts w:ascii="Arial" w:hAnsi="Arial" w:cs="Arial"/>
          <w:bCs/>
          <w:sz w:val="20"/>
          <w:szCs w:val="20"/>
        </w:rPr>
        <w:t>erschleiß</w:t>
      </w:r>
      <w:proofErr w:type="spellEnd"/>
      <w:r w:rsidR="00566436" w:rsidRPr="00566436">
        <w:rPr>
          <w:rFonts w:ascii="Arial" w:hAnsi="Arial" w:cs="Arial"/>
          <w:bCs/>
          <w:sz w:val="20"/>
          <w:szCs w:val="20"/>
        </w:rPr>
        <w:t xml:space="preserve"> </w:t>
      </w:r>
      <w:r w:rsidR="00566436">
        <w:rPr>
          <w:rFonts w:ascii="Arial" w:hAnsi="Arial" w:cs="Arial"/>
          <w:bCs/>
          <w:sz w:val="20"/>
          <w:szCs w:val="20"/>
        </w:rPr>
        <w:t>erkennt.</w:t>
      </w:r>
      <w:r w:rsidR="00CD1616">
        <w:rPr>
          <w:rFonts w:ascii="Arial" w:hAnsi="Arial" w:cs="Arial"/>
          <w:bCs/>
          <w:sz w:val="20"/>
          <w:szCs w:val="20"/>
        </w:rPr>
        <w:t xml:space="preserve"> </w:t>
      </w:r>
    </w:p>
    <w:p w14:paraId="62F47945" w14:textId="268F5A22" w:rsidR="009F50B0" w:rsidRPr="009F50B0" w:rsidRDefault="009F50B0" w:rsidP="00F87C15">
      <w:pPr>
        <w:spacing w:after="200" w:line="360" w:lineRule="auto"/>
        <w:ind w:left="142"/>
        <w:rPr>
          <w:rFonts w:ascii="Arial" w:hAnsi="Arial" w:cs="Arial"/>
          <w:b/>
          <w:sz w:val="20"/>
          <w:szCs w:val="20"/>
        </w:rPr>
      </w:pPr>
      <w:r w:rsidRPr="009F50B0">
        <w:rPr>
          <w:rFonts w:ascii="Arial" w:hAnsi="Arial" w:cs="Arial"/>
          <w:b/>
          <w:sz w:val="20"/>
          <w:szCs w:val="20"/>
        </w:rPr>
        <w:t xml:space="preserve">Weitere </w:t>
      </w:r>
      <w:r w:rsidR="00256628">
        <w:rPr>
          <w:rFonts w:ascii="Arial" w:hAnsi="Arial" w:cs="Arial"/>
          <w:b/>
          <w:sz w:val="20"/>
          <w:szCs w:val="20"/>
        </w:rPr>
        <w:t xml:space="preserve">Optionen für die </w:t>
      </w:r>
      <w:r w:rsidRPr="009F50B0">
        <w:rPr>
          <w:rFonts w:ascii="Arial" w:hAnsi="Arial" w:cs="Arial"/>
          <w:b/>
          <w:sz w:val="20"/>
          <w:szCs w:val="20"/>
        </w:rPr>
        <w:t>Peripherie</w:t>
      </w:r>
    </w:p>
    <w:p w14:paraId="3C16A0F5" w14:textId="606ADBB3" w:rsidR="005C6D45" w:rsidRDefault="00CD1616" w:rsidP="00F87C15">
      <w:pPr>
        <w:spacing w:after="200" w:line="360" w:lineRule="auto"/>
        <w:ind w:left="14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Auch hinsichtlich der peripheren Ausstattung bietet INDEX für die</w:t>
      </w:r>
      <w:r w:rsidR="00743315">
        <w:rPr>
          <w:rFonts w:ascii="Arial" w:hAnsi="Arial" w:cs="Arial"/>
          <w:bCs/>
          <w:sz w:val="20"/>
          <w:szCs w:val="20"/>
        </w:rPr>
        <w:t xml:space="preserve"> beiden Maschinen</w:t>
      </w:r>
      <w:r>
        <w:rPr>
          <w:rFonts w:ascii="Arial" w:hAnsi="Arial" w:cs="Arial"/>
          <w:bCs/>
          <w:sz w:val="20"/>
          <w:szCs w:val="20"/>
        </w:rPr>
        <w:t xml:space="preserve"> umfangreiche </w:t>
      </w:r>
      <w:r w:rsidR="00256628">
        <w:rPr>
          <w:rFonts w:ascii="Arial" w:hAnsi="Arial" w:cs="Arial"/>
          <w:bCs/>
          <w:sz w:val="20"/>
          <w:szCs w:val="20"/>
        </w:rPr>
        <w:t>Optionen</w:t>
      </w:r>
      <w:r>
        <w:rPr>
          <w:rFonts w:ascii="Arial" w:hAnsi="Arial" w:cs="Arial"/>
          <w:bCs/>
          <w:sz w:val="20"/>
          <w:szCs w:val="20"/>
        </w:rPr>
        <w:t xml:space="preserve">. So stehen </w:t>
      </w:r>
      <w:r w:rsidR="00256628">
        <w:rPr>
          <w:rFonts w:ascii="Arial" w:hAnsi="Arial" w:cs="Arial"/>
          <w:bCs/>
          <w:sz w:val="20"/>
          <w:szCs w:val="20"/>
        </w:rPr>
        <w:t>mehrere</w:t>
      </w:r>
      <w:r w:rsidR="00BC3AE0" w:rsidRPr="00BC3AE0">
        <w:rPr>
          <w:rFonts w:ascii="Arial" w:hAnsi="Arial" w:cs="Arial"/>
          <w:bCs/>
          <w:sz w:val="20"/>
          <w:szCs w:val="20"/>
        </w:rPr>
        <w:t xml:space="preserve"> </w:t>
      </w:r>
      <w:r w:rsidR="00BC3AE0" w:rsidRPr="00256628">
        <w:rPr>
          <w:rFonts w:ascii="Arial" w:hAnsi="Arial" w:cs="Arial"/>
          <w:bCs/>
          <w:sz w:val="20"/>
          <w:szCs w:val="20"/>
        </w:rPr>
        <w:t>Späneförderer</w:t>
      </w:r>
      <w:r w:rsidR="00BC3AE0" w:rsidRPr="00BC3AE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zur Wahl:</w:t>
      </w:r>
      <w:r w:rsidR="00BC3AE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ein KNOLL-</w:t>
      </w:r>
      <w:r w:rsidRPr="00BC3AE0">
        <w:rPr>
          <w:rFonts w:ascii="Arial" w:hAnsi="Arial" w:cs="Arial"/>
          <w:bCs/>
          <w:sz w:val="20"/>
          <w:szCs w:val="20"/>
        </w:rPr>
        <w:t xml:space="preserve">Plattenbandförderer </w:t>
      </w:r>
      <w:r w:rsidRPr="00741A98">
        <w:rPr>
          <w:rFonts w:ascii="Arial" w:hAnsi="Arial" w:cs="Arial"/>
          <w:bCs/>
          <w:sz w:val="20"/>
          <w:szCs w:val="20"/>
        </w:rPr>
        <w:t xml:space="preserve">sowie </w:t>
      </w:r>
      <w:r w:rsidR="00012CB6" w:rsidRPr="00741A98">
        <w:rPr>
          <w:rFonts w:ascii="Arial" w:hAnsi="Arial" w:cs="Arial"/>
          <w:bCs/>
          <w:sz w:val="20"/>
          <w:szCs w:val="20"/>
        </w:rPr>
        <w:t xml:space="preserve">ein Scharnierbandförderer </w:t>
      </w:r>
      <w:r w:rsidRPr="00741A98">
        <w:rPr>
          <w:rFonts w:ascii="Arial" w:hAnsi="Arial" w:cs="Arial"/>
          <w:bCs/>
          <w:sz w:val="20"/>
          <w:szCs w:val="20"/>
        </w:rPr>
        <w:t xml:space="preserve">von </w:t>
      </w:r>
      <w:r>
        <w:rPr>
          <w:rFonts w:ascii="Arial" w:hAnsi="Arial" w:cs="Arial"/>
          <w:bCs/>
          <w:sz w:val="20"/>
          <w:szCs w:val="20"/>
        </w:rPr>
        <w:t xml:space="preserve">Bürener. Die beiden </w:t>
      </w:r>
      <w:r>
        <w:rPr>
          <w:rFonts w:ascii="Arial" w:hAnsi="Arial" w:cs="Arial"/>
          <w:bCs/>
          <w:sz w:val="20"/>
          <w:szCs w:val="20"/>
        </w:rPr>
        <w:lastRenderedPageBreak/>
        <w:t>Lieferanten stellen auch verschiedene Kühlschmierstofflösungen bereit</w:t>
      </w:r>
      <w:r w:rsidR="005C6D45">
        <w:rPr>
          <w:rFonts w:ascii="Arial" w:hAnsi="Arial" w:cs="Arial"/>
          <w:bCs/>
          <w:sz w:val="20"/>
          <w:szCs w:val="20"/>
        </w:rPr>
        <w:t xml:space="preserve">, die sich vor allem in der Filtration und Hochdruckleistungen unterscheiden. </w:t>
      </w:r>
    </w:p>
    <w:p w14:paraId="6A9DF287" w14:textId="35B62B75" w:rsidR="00CD1616" w:rsidRDefault="005C6D45" w:rsidP="00F87C15">
      <w:pPr>
        <w:spacing w:after="200" w:line="360" w:lineRule="auto"/>
        <w:ind w:left="14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Als KSS</w:t>
      </w:r>
      <w:r w:rsidRPr="005C6D4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lassen sich sowohl</w:t>
      </w:r>
      <w:r w:rsidRPr="00BC3AE0">
        <w:rPr>
          <w:rFonts w:ascii="Arial" w:hAnsi="Arial" w:cs="Arial"/>
          <w:bCs/>
          <w:sz w:val="20"/>
          <w:szCs w:val="20"/>
        </w:rPr>
        <w:t xml:space="preserve"> Emulsion als auch Öl</w:t>
      </w:r>
      <w:r>
        <w:rPr>
          <w:rFonts w:ascii="Arial" w:hAnsi="Arial" w:cs="Arial"/>
          <w:bCs/>
          <w:sz w:val="20"/>
          <w:szCs w:val="20"/>
        </w:rPr>
        <w:t xml:space="preserve"> verwenden</w:t>
      </w:r>
      <w:r w:rsidRPr="00BC3AE0">
        <w:rPr>
          <w:rFonts w:ascii="Arial" w:hAnsi="Arial" w:cs="Arial"/>
          <w:bCs/>
          <w:sz w:val="20"/>
          <w:szCs w:val="20"/>
        </w:rPr>
        <w:t>.</w:t>
      </w:r>
      <w:r w:rsidRPr="005C6D4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Ergänzend bietet INDEX entsprechende </w:t>
      </w:r>
      <w:r w:rsidRPr="00256628">
        <w:rPr>
          <w:rFonts w:ascii="Arial" w:hAnsi="Arial" w:cs="Arial"/>
          <w:bCs/>
          <w:sz w:val="20"/>
          <w:szCs w:val="20"/>
        </w:rPr>
        <w:t>Absauganlage</w:t>
      </w:r>
      <w:r>
        <w:rPr>
          <w:rFonts w:ascii="Arial" w:hAnsi="Arial" w:cs="Arial"/>
          <w:bCs/>
          <w:sz w:val="20"/>
          <w:szCs w:val="20"/>
        </w:rPr>
        <w:t xml:space="preserve"> an: einen </w:t>
      </w:r>
      <w:r w:rsidRPr="00BC3AE0">
        <w:rPr>
          <w:rFonts w:ascii="Arial" w:hAnsi="Arial" w:cs="Arial"/>
          <w:bCs/>
          <w:sz w:val="20"/>
          <w:szCs w:val="20"/>
        </w:rPr>
        <w:t xml:space="preserve">mechanischen Abscheider </w:t>
      </w:r>
      <w:r>
        <w:rPr>
          <w:rFonts w:ascii="Arial" w:hAnsi="Arial" w:cs="Arial"/>
          <w:bCs/>
          <w:sz w:val="20"/>
          <w:szCs w:val="20"/>
        </w:rPr>
        <w:t xml:space="preserve">für Emulsion und ein </w:t>
      </w:r>
      <w:r w:rsidRPr="00BC3AE0">
        <w:rPr>
          <w:rFonts w:ascii="Arial" w:hAnsi="Arial" w:cs="Arial"/>
          <w:bCs/>
          <w:sz w:val="20"/>
          <w:szCs w:val="20"/>
        </w:rPr>
        <w:t>elektrostatische</w:t>
      </w:r>
      <w:r>
        <w:rPr>
          <w:rFonts w:ascii="Arial" w:hAnsi="Arial" w:cs="Arial"/>
          <w:bCs/>
          <w:sz w:val="20"/>
          <w:szCs w:val="20"/>
        </w:rPr>
        <w:t>s System</w:t>
      </w:r>
      <w:r w:rsidRPr="00BC3AE0">
        <w:rPr>
          <w:rFonts w:ascii="Arial" w:hAnsi="Arial" w:cs="Arial"/>
          <w:bCs/>
          <w:sz w:val="20"/>
          <w:szCs w:val="20"/>
        </w:rPr>
        <w:t xml:space="preserve"> für Öl.</w:t>
      </w:r>
    </w:p>
    <w:p w14:paraId="27DB8AC2" w14:textId="466116F7" w:rsidR="005C6D45" w:rsidRDefault="005C6D45" w:rsidP="005C6D45">
      <w:pPr>
        <w:spacing w:after="200" w:line="360" w:lineRule="auto"/>
        <w:ind w:left="14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Das</w:t>
      </w:r>
      <w:r w:rsidR="00BC3AE0" w:rsidRPr="00BC3AE0">
        <w:rPr>
          <w:rFonts w:ascii="Arial" w:hAnsi="Arial" w:cs="Arial"/>
          <w:bCs/>
          <w:sz w:val="20"/>
          <w:szCs w:val="20"/>
        </w:rPr>
        <w:t xml:space="preserve"> </w:t>
      </w:r>
      <w:r w:rsidR="00BC3AE0" w:rsidRPr="00256628">
        <w:rPr>
          <w:rFonts w:ascii="Arial" w:hAnsi="Arial" w:cs="Arial"/>
          <w:bCs/>
          <w:sz w:val="20"/>
          <w:szCs w:val="20"/>
        </w:rPr>
        <w:t>Kühlkonzept</w:t>
      </w:r>
      <w:r w:rsidR="00BC3AE0" w:rsidRPr="00BC3AE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der INDEX G160</w:t>
      </w:r>
      <w:r w:rsidR="00743315">
        <w:rPr>
          <w:rFonts w:ascii="Arial" w:hAnsi="Arial" w:cs="Arial"/>
          <w:bCs/>
          <w:sz w:val="20"/>
          <w:szCs w:val="20"/>
        </w:rPr>
        <w:t>/TRAUB TNX160</w:t>
      </w:r>
      <w:r>
        <w:rPr>
          <w:rFonts w:ascii="Arial" w:hAnsi="Arial" w:cs="Arial"/>
          <w:bCs/>
          <w:sz w:val="20"/>
          <w:szCs w:val="20"/>
        </w:rPr>
        <w:t xml:space="preserve"> beinhaltet zwei Lösungen: einen 14 kW-Kühler, der nur die Maschine temperiert und ein 20-kW-Kühlgerät, das zusätzlich </w:t>
      </w:r>
      <w:r w:rsidRPr="00741A98">
        <w:rPr>
          <w:rFonts w:ascii="Arial" w:hAnsi="Arial" w:cs="Arial"/>
          <w:bCs/>
          <w:sz w:val="20"/>
          <w:szCs w:val="20"/>
        </w:rPr>
        <w:t>d</w:t>
      </w:r>
      <w:r w:rsidR="00012CB6" w:rsidRPr="00741A98">
        <w:rPr>
          <w:rFonts w:ascii="Arial" w:hAnsi="Arial" w:cs="Arial"/>
          <w:bCs/>
          <w:sz w:val="20"/>
          <w:szCs w:val="20"/>
        </w:rPr>
        <w:t>en</w:t>
      </w:r>
      <w:r w:rsidRPr="00741A9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KSS </w:t>
      </w:r>
      <w:r w:rsidR="00256628">
        <w:rPr>
          <w:rFonts w:ascii="Arial" w:hAnsi="Arial" w:cs="Arial"/>
          <w:bCs/>
          <w:sz w:val="20"/>
          <w:szCs w:val="20"/>
        </w:rPr>
        <w:t>auf der gewünschten Temperatur hält</w:t>
      </w:r>
      <w:r>
        <w:rPr>
          <w:rFonts w:ascii="Arial" w:hAnsi="Arial" w:cs="Arial"/>
          <w:bCs/>
          <w:sz w:val="20"/>
          <w:szCs w:val="20"/>
        </w:rPr>
        <w:t>.</w:t>
      </w:r>
    </w:p>
    <w:p w14:paraId="5A146E6C" w14:textId="2E534FE6" w:rsidR="00C46CE0" w:rsidRDefault="00C46CE0" w:rsidP="00BC3AE0">
      <w:pPr>
        <w:spacing w:after="200" w:line="360" w:lineRule="auto"/>
        <w:ind w:left="14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Ein </w:t>
      </w:r>
      <w:r w:rsidR="003025B4">
        <w:rPr>
          <w:rFonts w:ascii="Arial" w:hAnsi="Arial" w:cs="Arial"/>
          <w:bCs/>
          <w:sz w:val="20"/>
          <w:szCs w:val="20"/>
        </w:rPr>
        <w:t xml:space="preserve">weiteres </w:t>
      </w:r>
      <w:r>
        <w:rPr>
          <w:rFonts w:ascii="Arial" w:hAnsi="Arial" w:cs="Arial"/>
          <w:bCs/>
          <w:sz w:val="20"/>
          <w:szCs w:val="20"/>
        </w:rPr>
        <w:t xml:space="preserve">wichtiges Thema ist die </w:t>
      </w:r>
      <w:r w:rsidRPr="00256628">
        <w:rPr>
          <w:rFonts w:ascii="Arial" w:hAnsi="Arial" w:cs="Arial"/>
          <w:bCs/>
          <w:sz w:val="20"/>
          <w:szCs w:val="20"/>
        </w:rPr>
        <w:t>Energieeffizienz</w:t>
      </w:r>
      <w:r>
        <w:rPr>
          <w:rFonts w:ascii="Arial" w:hAnsi="Arial" w:cs="Arial"/>
          <w:bCs/>
          <w:sz w:val="20"/>
          <w:szCs w:val="20"/>
        </w:rPr>
        <w:t xml:space="preserve"> der Maschine. Hier übernimmt INDEX mit vielen Details eine Vorreiterrolle: Zum Beispiel durch die</w:t>
      </w:r>
      <w:r w:rsidR="00BC3AE0" w:rsidRPr="00BC3AE0">
        <w:rPr>
          <w:rFonts w:ascii="Arial" w:hAnsi="Arial" w:cs="Arial"/>
          <w:bCs/>
          <w:sz w:val="20"/>
          <w:szCs w:val="20"/>
        </w:rPr>
        <w:t xml:space="preserve"> </w:t>
      </w:r>
      <w:r w:rsidR="00BC3AE0" w:rsidRPr="003025B4">
        <w:rPr>
          <w:rFonts w:ascii="Arial" w:hAnsi="Arial" w:cs="Arial"/>
          <w:bCs/>
          <w:sz w:val="20"/>
          <w:szCs w:val="20"/>
        </w:rPr>
        <w:t>Netzrückspeisung</w:t>
      </w:r>
      <w:r w:rsidR="00BC3AE0" w:rsidRPr="00BC3AE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der Energie bei Abbremsvorgängen, durch den Einsatz frequenzgeregelter Pumpen</w:t>
      </w:r>
      <w:r w:rsidR="00256628">
        <w:rPr>
          <w:rFonts w:ascii="Arial" w:hAnsi="Arial" w:cs="Arial"/>
          <w:bCs/>
          <w:sz w:val="20"/>
          <w:szCs w:val="20"/>
        </w:rPr>
        <w:t>, durch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256628">
        <w:rPr>
          <w:rFonts w:ascii="Arial" w:hAnsi="Arial" w:cs="Arial"/>
          <w:bCs/>
          <w:sz w:val="20"/>
          <w:szCs w:val="20"/>
        </w:rPr>
        <w:t>Gewichtsausgleiche für die vertikalen Achsen etc. (weitere Details siehe Kasten).</w:t>
      </w:r>
    </w:p>
    <w:p w14:paraId="53B7958E" w14:textId="176BF697" w:rsidR="00B25869" w:rsidRDefault="00286357" w:rsidP="008611D2">
      <w:pPr>
        <w:spacing w:after="200" w:line="360" w:lineRule="auto"/>
        <w:ind w:left="142"/>
        <w:rPr>
          <w:rFonts w:ascii="Arial" w:hAnsi="Arial" w:cs="Arial"/>
          <w:bCs/>
          <w:sz w:val="20"/>
          <w:szCs w:val="20"/>
        </w:rPr>
      </w:pPr>
      <w:r w:rsidRPr="00286357">
        <w:rPr>
          <w:rFonts w:ascii="Arial" w:hAnsi="Arial" w:cs="Arial"/>
          <w:bCs/>
          <w:sz w:val="20"/>
          <w:szCs w:val="20"/>
        </w:rPr>
        <w:t>Last but not least</w:t>
      </w:r>
      <w:r w:rsidR="008611D2">
        <w:rPr>
          <w:rFonts w:ascii="Arial" w:hAnsi="Arial" w:cs="Arial"/>
          <w:bCs/>
          <w:sz w:val="20"/>
          <w:szCs w:val="20"/>
        </w:rPr>
        <w:t xml:space="preserve"> - </w:t>
      </w:r>
      <w:r w:rsidR="00743315">
        <w:rPr>
          <w:rFonts w:ascii="Arial" w:hAnsi="Arial" w:cs="Arial"/>
          <w:bCs/>
          <w:sz w:val="20"/>
          <w:szCs w:val="20"/>
        </w:rPr>
        <w:t>und das ist der größte bzw. einzige Unterschied der beiden Dreh-Fräszentren</w:t>
      </w:r>
      <w:r w:rsidR="008611D2">
        <w:rPr>
          <w:rFonts w:ascii="Arial" w:hAnsi="Arial" w:cs="Arial"/>
          <w:bCs/>
          <w:sz w:val="20"/>
          <w:szCs w:val="20"/>
        </w:rPr>
        <w:t xml:space="preserve"> - </w:t>
      </w:r>
      <w:r w:rsidRPr="00286357">
        <w:rPr>
          <w:rFonts w:ascii="Arial" w:hAnsi="Arial" w:cs="Arial"/>
          <w:bCs/>
          <w:sz w:val="20"/>
          <w:szCs w:val="20"/>
        </w:rPr>
        <w:t>die INDEX G160 ist mit der neu</w:t>
      </w:r>
      <w:r>
        <w:rPr>
          <w:rFonts w:ascii="Arial" w:hAnsi="Arial" w:cs="Arial"/>
          <w:bCs/>
          <w:sz w:val="20"/>
          <w:szCs w:val="20"/>
        </w:rPr>
        <w:t xml:space="preserve">esten Siemenssteuerung, der </w:t>
      </w:r>
      <w:r w:rsidRPr="00286357">
        <w:rPr>
          <w:rFonts w:ascii="Arial" w:hAnsi="Arial" w:cs="Arial"/>
          <w:bCs/>
          <w:sz w:val="20"/>
          <w:szCs w:val="20"/>
        </w:rPr>
        <w:t>Sinumerik ONE</w:t>
      </w:r>
      <w:r w:rsidR="008611D2">
        <w:rPr>
          <w:rFonts w:ascii="Arial" w:hAnsi="Arial" w:cs="Arial"/>
          <w:bCs/>
          <w:sz w:val="20"/>
          <w:szCs w:val="20"/>
        </w:rPr>
        <w:t xml:space="preserve"> ausgestattet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8611D2">
        <w:rPr>
          <w:rFonts w:ascii="Arial" w:hAnsi="Arial" w:cs="Arial"/>
          <w:bCs/>
          <w:sz w:val="20"/>
          <w:szCs w:val="20"/>
        </w:rPr>
        <w:t>während die TRAUB auf die bewährte Mitsubishi Steuerung setzt.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501B6EF8" w14:textId="1E0602D1" w:rsidR="00CD6CB0" w:rsidRPr="00CD6CB0" w:rsidRDefault="00B25869" w:rsidP="00256628">
      <w:pPr>
        <w:spacing w:after="200" w:line="360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Entscheidende</w:t>
      </w:r>
      <w:r w:rsidR="00CD6CB0">
        <w:rPr>
          <w:rFonts w:ascii="Arial" w:hAnsi="Arial" w:cs="Arial"/>
          <w:b/>
          <w:sz w:val="20"/>
          <w:szCs w:val="20"/>
        </w:rPr>
        <w:t xml:space="preserve"> Punkte, warum</w:t>
      </w:r>
      <w:r w:rsidR="00CD6CB0" w:rsidRPr="00CD6CB0">
        <w:rPr>
          <w:rFonts w:ascii="Arial" w:hAnsi="Arial" w:cs="Arial"/>
          <w:b/>
          <w:sz w:val="20"/>
          <w:szCs w:val="20"/>
        </w:rPr>
        <w:t xml:space="preserve"> INDEX-Maschinen so energieeffizient sind</w:t>
      </w:r>
    </w:p>
    <w:p w14:paraId="6A0B752D" w14:textId="54025E5E" w:rsidR="00256628" w:rsidRPr="00B25869" w:rsidRDefault="00CD6CB0" w:rsidP="00B25869">
      <w:pPr>
        <w:pStyle w:val="Listenabsatz"/>
        <w:numPr>
          <w:ilvl w:val="0"/>
          <w:numId w:val="8"/>
        </w:numPr>
        <w:spacing w:after="200" w:line="360" w:lineRule="auto"/>
        <w:rPr>
          <w:rFonts w:ascii="Arial" w:hAnsi="Arial" w:cs="Arial"/>
          <w:bCs/>
          <w:sz w:val="20"/>
          <w:szCs w:val="20"/>
        </w:rPr>
      </w:pPr>
      <w:r w:rsidRPr="00B25869">
        <w:rPr>
          <w:rFonts w:ascii="Arial" w:hAnsi="Arial" w:cs="Arial"/>
          <w:bCs/>
          <w:sz w:val="20"/>
          <w:szCs w:val="20"/>
        </w:rPr>
        <w:t>H</w:t>
      </w:r>
      <w:r w:rsidR="00256628" w:rsidRPr="00B25869">
        <w:rPr>
          <w:rFonts w:ascii="Arial" w:hAnsi="Arial" w:cs="Arial"/>
          <w:bCs/>
          <w:sz w:val="20"/>
          <w:szCs w:val="20"/>
        </w:rPr>
        <w:t xml:space="preserve">ohe Beschleunigungen und Eilgängen </w:t>
      </w:r>
      <w:r w:rsidRPr="00B25869">
        <w:rPr>
          <w:rFonts w:ascii="Arial" w:hAnsi="Arial" w:cs="Arial"/>
          <w:bCs/>
          <w:sz w:val="20"/>
          <w:szCs w:val="20"/>
        </w:rPr>
        <w:t>sorgen für</w:t>
      </w:r>
      <w:r w:rsidR="00256628" w:rsidRPr="00B25869">
        <w:rPr>
          <w:rFonts w:ascii="Arial" w:hAnsi="Arial" w:cs="Arial"/>
          <w:bCs/>
          <w:sz w:val="20"/>
          <w:szCs w:val="20"/>
        </w:rPr>
        <w:t xml:space="preserve"> reduzierte Peripherielaufzeiten (</w:t>
      </w:r>
      <w:r w:rsidRPr="00B25869">
        <w:rPr>
          <w:rFonts w:ascii="Arial" w:hAnsi="Arial" w:cs="Arial"/>
          <w:bCs/>
          <w:sz w:val="20"/>
          <w:szCs w:val="20"/>
        </w:rPr>
        <w:t xml:space="preserve">spart </w:t>
      </w:r>
      <w:r w:rsidR="00256628" w:rsidRPr="00B25869">
        <w:rPr>
          <w:rFonts w:ascii="Arial" w:hAnsi="Arial" w:cs="Arial"/>
          <w:bCs/>
          <w:sz w:val="20"/>
          <w:szCs w:val="20"/>
        </w:rPr>
        <w:t>bis 50% des Energieverbrauchs)</w:t>
      </w:r>
    </w:p>
    <w:p w14:paraId="549B3309" w14:textId="3023E9D6" w:rsidR="00256628" w:rsidRPr="00B25869" w:rsidRDefault="00CD6CB0" w:rsidP="00B25869">
      <w:pPr>
        <w:pStyle w:val="Listenabsatz"/>
        <w:numPr>
          <w:ilvl w:val="0"/>
          <w:numId w:val="8"/>
        </w:numPr>
        <w:spacing w:after="200" w:line="360" w:lineRule="auto"/>
        <w:rPr>
          <w:rFonts w:ascii="Arial" w:hAnsi="Arial" w:cs="Arial"/>
          <w:bCs/>
          <w:sz w:val="20"/>
          <w:szCs w:val="20"/>
        </w:rPr>
      </w:pPr>
      <w:r w:rsidRPr="00B25869">
        <w:rPr>
          <w:rFonts w:ascii="Arial" w:hAnsi="Arial" w:cs="Arial"/>
          <w:bCs/>
          <w:sz w:val="20"/>
          <w:szCs w:val="20"/>
        </w:rPr>
        <w:t xml:space="preserve">Energierückgewinnung bei Bremsvorgängen durch </w:t>
      </w:r>
      <w:r w:rsidR="00256628" w:rsidRPr="00B25869">
        <w:rPr>
          <w:rFonts w:ascii="Arial" w:hAnsi="Arial" w:cs="Arial"/>
          <w:bCs/>
          <w:sz w:val="20"/>
          <w:szCs w:val="20"/>
        </w:rPr>
        <w:t>Netzrückspeisung</w:t>
      </w:r>
    </w:p>
    <w:p w14:paraId="1D4A4F7F" w14:textId="79EB24E5" w:rsidR="00256628" w:rsidRPr="00B25869" w:rsidRDefault="00256628" w:rsidP="00B25869">
      <w:pPr>
        <w:pStyle w:val="Listenabsatz"/>
        <w:numPr>
          <w:ilvl w:val="0"/>
          <w:numId w:val="8"/>
        </w:numPr>
        <w:spacing w:after="200" w:line="360" w:lineRule="auto"/>
        <w:rPr>
          <w:rFonts w:ascii="Arial" w:hAnsi="Arial" w:cs="Arial"/>
          <w:bCs/>
          <w:sz w:val="20"/>
          <w:szCs w:val="20"/>
        </w:rPr>
      </w:pPr>
      <w:r w:rsidRPr="00B25869">
        <w:rPr>
          <w:rFonts w:ascii="Arial" w:hAnsi="Arial" w:cs="Arial"/>
          <w:bCs/>
          <w:sz w:val="20"/>
          <w:szCs w:val="20"/>
        </w:rPr>
        <w:t>Geringerer Energiebedarf durch intelligente Werkstoffpaarungen und -beschichtungen mit minimaler Reibung</w:t>
      </w:r>
    </w:p>
    <w:p w14:paraId="1B7B551F" w14:textId="77777777" w:rsidR="00B25869" w:rsidRDefault="00256628" w:rsidP="00B25869">
      <w:pPr>
        <w:pStyle w:val="Listenabsatz"/>
        <w:numPr>
          <w:ilvl w:val="0"/>
          <w:numId w:val="8"/>
        </w:numPr>
        <w:spacing w:after="200" w:line="360" w:lineRule="auto"/>
        <w:rPr>
          <w:rFonts w:ascii="Arial" w:hAnsi="Arial" w:cs="Arial"/>
          <w:bCs/>
          <w:sz w:val="20"/>
          <w:szCs w:val="20"/>
        </w:rPr>
      </w:pPr>
      <w:r w:rsidRPr="00B25869">
        <w:rPr>
          <w:rFonts w:ascii="Arial" w:hAnsi="Arial" w:cs="Arial"/>
          <w:bCs/>
          <w:sz w:val="20"/>
          <w:szCs w:val="20"/>
        </w:rPr>
        <w:t xml:space="preserve">Energieeinsparung durch </w:t>
      </w:r>
      <w:r w:rsidR="00B25869">
        <w:rPr>
          <w:rFonts w:ascii="Arial" w:hAnsi="Arial" w:cs="Arial"/>
          <w:bCs/>
          <w:sz w:val="20"/>
          <w:szCs w:val="20"/>
        </w:rPr>
        <w:t>f</w:t>
      </w:r>
      <w:r w:rsidR="00B25869" w:rsidRPr="00B25869">
        <w:rPr>
          <w:rFonts w:ascii="Arial" w:hAnsi="Arial" w:cs="Arial"/>
          <w:bCs/>
          <w:sz w:val="20"/>
          <w:szCs w:val="20"/>
        </w:rPr>
        <w:t xml:space="preserve">requenzgeregelte </w:t>
      </w:r>
      <w:r w:rsidR="00B25869">
        <w:rPr>
          <w:rFonts w:ascii="Arial" w:hAnsi="Arial" w:cs="Arial"/>
          <w:bCs/>
          <w:sz w:val="20"/>
          <w:szCs w:val="20"/>
        </w:rPr>
        <w:t>Pumpen</w:t>
      </w:r>
    </w:p>
    <w:p w14:paraId="6ED264F5" w14:textId="6B072B5A" w:rsidR="00256628" w:rsidRPr="00B25869" w:rsidRDefault="00256628" w:rsidP="00B25869">
      <w:pPr>
        <w:pStyle w:val="Listenabsatz"/>
        <w:numPr>
          <w:ilvl w:val="0"/>
          <w:numId w:val="8"/>
        </w:numPr>
        <w:spacing w:after="200" w:line="360" w:lineRule="auto"/>
        <w:rPr>
          <w:rFonts w:ascii="Arial" w:hAnsi="Arial" w:cs="Arial"/>
          <w:bCs/>
          <w:sz w:val="20"/>
          <w:szCs w:val="20"/>
        </w:rPr>
      </w:pPr>
      <w:r w:rsidRPr="00B25869">
        <w:rPr>
          <w:rFonts w:ascii="Arial" w:hAnsi="Arial" w:cs="Arial"/>
          <w:bCs/>
          <w:sz w:val="20"/>
          <w:szCs w:val="20"/>
        </w:rPr>
        <w:t xml:space="preserve">Verbrauchsreduzierung durch intelligente automatische Abschaltung von Peripheriesystemen </w:t>
      </w:r>
      <w:r w:rsidR="00CD6CB0" w:rsidRPr="00B25869">
        <w:rPr>
          <w:rFonts w:ascii="Arial" w:hAnsi="Arial" w:cs="Arial"/>
          <w:bCs/>
          <w:sz w:val="20"/>
          <w:szCs w:val="20"/>
        </w:rPr>
        <w:t xml:space="preserve">bei </w:t>
      </w:r>
      <w:r w:rsidRPr="00B25869">
        <w:rPr>
          <w:rFonts w:ascii="Arial" w:hAnsi="Arial" w:cs="Arial"/>
          <w:bCs/>
          <w:sz w:val="20"/>
          <w:szCs w:val="20"/>
        </w:rPr>
        <w:t>Maschinenstillstand</w:t>
      </w:r>
    </w:p>
    <w:p w14:paraId="50AACC1F" w14:textId="4BED659E" w:rsidR="00CD6CB0" w:rsidRPr="00B25869" w:rsidRDefault="00CD6CB0" w:rsidP="00B25869">
      <w:pPr>
        <w:pStyle w:val="Listenabsatz"/>
        <w:numPr>
          <w:ilvl w:val="0"/>
          <w:numId w:val="8"/>
        </w:numPr>
        <w:spacing w:after="200" w:line="360" w:lineRule="auto"/>
        <w:rPr>
          <w:rFonts w:ascii="Arial" w:hAnsi="Arial" w:cs="Arial"/>
          <w:bCs/>
          <w:sz w:val="20"/>
          <w:szCs w:val="20"/>
        </w:rPr>
      </w:pPr>
      <w:r w:rsidRPr="00B25869">
        <w:rPr>
          <w:rFonts w:ascii="Arial" w:hAnsi="Arial" w:cs="Arial"/>
          <w:bCs/>
          <w:sz w:val="20"/>
          <w:szCs w:val="20"/>
        </w:rPr>
        <w:t>Federnde Gewichtsausgleiche in vertikalen Vorschubachsen reduzieren die Energieaufnahme der Servomotoren</w:t>
      </w:r>
    </w:p>
    <w:p w14:paraId="1961E362" w14:textId="0C5C0071" w:rsidR="00256628" w:rsidRPr="00B25869" w:rsidRDefault="00CD6CB0" w:rsidP="00B25869">
      <w:pPr>
        <w:pStyle w:val="Listenabsatz"/>
        <w:numPr>
          <w:ilvl w:val="0"/>
          <w:numId w:val="8"/>
        </w:numPr>
        <w:spacing w:after="200" w:line="360" w:lineRule="auto"/>
        <w:rPr>
          <w:rFonts w:ascii="Arial" w:hAnsi="Arial" w:cs="Arial"/>
          <w:bCs/>
          <w:sz w:val="20"/>
          <w:szCs w:val="20"/>
        </w:rPr>
      </w:pPr>
      <w:r w:rsidRPr="00B25869">
        <w:rPr>
          <w:rFonts w:ascii="Arial" w:hAnsi="Arial" w:cs="Arial"/>
          <w:bCs/>
          <w:sz w:val="20"/>
          <w:szCs w:val="20"/>
        </w:rPr>
        <w:t>Wärmerückgewinnung durch Bereitstellung einer zentralen Wasserschnittstelle</w:t>
      </w:r>
    </w:p>
    <w:p w14:paraId="70D37C81" w14:textId="33746379" w:rsidR="00FE778B" w:rsidRPr="00D335FC" w:rsidRDefault="00F87C15" w:rsidP="0012717A">
      <w:pPr>
        <w:spacing w:after="200" w:line="360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Fotos:</w:t>
      </w:r>
      <w:r w:rsidR="004152AF">
        <w:rPr>
          <w:rFonts w:ascii="Arial" w:hAnsi="Arial" w:cs="Arial"/>
          <w:sz w:val="20"/>
          <w:szCs w:val="20"/>
        </w:rPr>
        <w:t xml:space="preserve"> angehängt</w:t>
      </w:r>
    </w:p>
    <w:p w14:paraId="488976C3" w14:textId="77777777" w:rsidR="00F32C8A" w:rsidRPr="009E5184" w:rsidRDefault="00F32C8A" w:rsidP="002C056C">
      <w:pPr>
        <w:suppressLineNumbers/>
        <w:spacing w:line="336" w:lineRule="auto"/>
        <w:ind w:left="142" w:right="1843"/>
        <w:rPr>
          <w:rFonts w:ascii="Arial" w:hAnsi="Arial" w:cs="Arial"/>
          <w:sz w:val="20"/>
          <w:szCs w:val="20"/>
          <w:lang w:val="en-IN"/>
        </w:rPr>
      </w:pPr>
      <w:r w:rsidRPr="00D335FC">
        <w:rPr>
          <w:rFonts w:ascii="Arial" w:hAnsi="Arial" w:cs="Arial"/>
          <w:b/>
          <w:sz w:val="20"/>
          <w:szCs w:val="20"/>
        </w:rPr>
        <w:t>Kontakt:</w:t>
      </w:r>
      <w:r w:rsidRPr="00D335FC">
        <w:rPr>
          <w:rFonts w:ascii="Arial" w:hAnsi="Arial" w:cs="Arial"/>
          <w:sz w:val="20"/>
          <w:szCs w:val="20"/>
        </w:rPr>
        <w:tab/>
        <w:t xml:space="preserve">INDEX-Werke GmbH &amp; Co. </w:t>
      </w:r>
      <w:r w:rsidRPr="009E5184">
        <w:rPr>
          <w:rFonts w:ascii="Arial" w:hAnsi="Arial" w:cs="Arial"/>
          <w:sz w:val="20"/>
          <w:szCs w:val="20"/>
          <w:lang w:val="en-IN"/>
        </w:rPr>
        <w:t xml:space="preserve">KG Hahn &amp; </w:t>
      </w:r>
      <w:proofErr w:type="spellStart"/>
      <w:r w:rsidRPr="009E5184">
        <w:rPr>
          <w:rFonts w:ascii="Arial" w:hAnsi="Arial" w:cs="Arial"/>
          <w:sz w:val="20"/>
          <w:szCs w:val="20"/>
          <w:lang w:val="en-IN"/>
        </w:rPr>
        <w:t>Tessky</w:t>
      </w:r>
      <w:proofErr w:type="spellEnd"/>
    </w:p>
    <w:p w14:paraId="5C9DF360" w14:textId="77777777" w:rsidR="00F32C8A" w:rsidRPr="009E5184" w:rsidRDefault="00F32C8A" w:rsidP="002C056C">
      <w:pPr>
        <w:suppressLineNumbers/>
        <w:spacing w:line="336" w:lineRule="auto"/>
        <w:ind w:left="709" w:right="1843" w:firstLine="709"/>
        <w:rPr>
          <w:rFonts w:ascii="Arial" w:hAnsi="Arial" w:cs="Arial"/>
          <w:sz w:val="20"/>
          <w:szCs w:val="20"/>
          <w:lang w:val="en-IN"/>
        </w:rPr>
      </w:pPr>
      <w:r w:rsidRPr="009E5184">
        <w:rPr>
          <w:rFonts w:ascii="Arial" w:hAnsi="Arial" w:cs="Arial"/>
          <w:sz w:val="20"/>
          <w:szCs w:val="20"/>
          <w:lang w:val="en-IN"/>
        </w:rPr>
        <w:t>Rainer Gondek</w:t>
      </w:r>
    </w:p>
    <w:p w14:paraId="328E903A" w14:textId="77777777" w:rsidR="00F32C8A" w:rsidRPr="00B2006E" w:rsidRDefault="00F32C8A" w:rsidP="002C056C">
      <w:pPr>
        <w:suppressLineNumbers/>
        <w:spacing w:line="336" w:lineRule="auto"/>
        <w:ind w:left="709" w:right="1843" w:firstLine="709"/>
        <w:rPr>
          <w:rFonts w:ascii="Arial" w:hAnsi="Arial" w:cs="Arial"/>
          <w:sz w:val="20"/>
          <w:szCs w:val="20"/>
          <w:lang w:val="en-IN"/>
        </w:rPr>
      </w:pPr>
      <w:r w:rsidRPr="00B2006E">
        <w:rPr>
          <w:rFonts w:ascii="Arial" w:hAnsi="Arial" w:cs="Arial"/>
          <w:sz w:val="20"/>
          <w:szCs w:val="20"/>
          <w:lang w:val="en-IN"/>
        </w:rPr>
        <w:t xml:space="preserve">Leiter Global Marketing </w:t>
      </w:r>
    </w:p>
    <w:p w14:paraId="223FDF8F" w14:textId="77777777" w:rsidR="00F32C8A" w:rsidRPr="00B2006E" w:rsidRDefault="00F32C8A" w:rsidP="002C056C">
      <w:pPr>
        <w:suppressLineNumbers/>
        <w:spacing w:line="336" w:lineRule="auto"/>
        <w:ind w:left="709" w:right="1843" w:firstLine="709"/>
        <w:rPr>
          <w:rFonts w:ascii="Arial" w:hAnsi="Arial" w:cs="Arial"/>
          <w:sz w:val="20"/>
          <w:szCs w:val="20"/>
          <w:lang w:val="en-IN"/>
        </w:rPr>
      </w:pPr>
      <w:r w:rsidRPr="00B2006E">
        <w:rPr>
          <w:rFonts w:ascii="Arial" w:hAnsi="Arial" w:cs="Arial"/>
          <w:sz w:val="20"/>
          <w:szCs w:val="20"/>
          <w:lang w:val="en-IN"/>
        </w:rPr>
        <w:t>Tel.: +49 (711) 3191-1286</w:t>
      </w:r>
    </w:p>
    <w:p w14:paraId="0AF8F6BA" w14:textId="505D4BEA" w:rsidR="001B241B" w:rsidRPr="00BC4430" w:rsidRDefault="00F32C8A" w:rsidP="008611D2">
      <w:pPr>
        <w:suppressLineNumbers/>
        <w:spacing w:line="336" w:lineRule="auto"/>
        <w:ind w:left="709" w:right="1843" w:firstLine="709"/>
        <w:rPr>
          <w:rFonts w:ascii="Arial" w:eastAsiaTheme="minorHAnsi" w:hAnsi="Arial" w:cs="Arial"/>
          <w:sz w:val="20"/>
          <w:szCs w:val="20"/>
          <w:lang w:val="en-IN" w:eastAsia="en-US"/>
        </w:rPr>
      </w:pPr>
      <w:hyperlink r:id="rId8" w:history="1">
        <w:r w:rsidRPr="00BC4430">
          <w:rPr>
            <w:rStyle w:val="Hyperlink"/>
            <w:rFonts w:ascii="Arial" w:hAnsi="Arial" w:cs="Arial"/>
            <w:sz w:val="20"/>
            <w:szCs w:val="20"/>
            <w:lang w:val="en-IN"/>
          </w:rPr>
          <w:t>rainer.gondek@index-werke.de</w:t>
        </w:r>
      </w:hyperlink>
      <w:r w:rsidRPr="00BC4430">
        <w:rPr>
          <w:rFonts w:ascii="Arial" w:hAnsi="Arial" w:cs="Arial"/>
          <w:sz w:val="20"/>
          <w:szCs w:val="20"/>
          <w:lang w:val="en-IN"/>
        </w:rPr>
        <w:t xml:space="preserve"> </w:t>
      </w:r>
    </w:p>
    <w:sectPr w:rsidR="001B241B" w:rsidRPr="00BC4430" w:rsidSect="001271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913" w:right="2267" w:bottom="1134" w:left="1701" w:header="709" w:footer="454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29B24" w14:textId="77777777" w:rsidR="00296387" w:rsidRDefault="00296387">
      <w:r>
        <w:separator/>
      </w:r>
    </w:p>
  </w:endnote>
  <w:endnote w:type="continuationSeparator" w:id="0">
    <w:p w14:paraId="00044959" w14:textId="77777777" w:rsidR="00296387" w:rsidRDefault="0029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HOGI B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35AA" w14:textId="77777777" w:rsidR="008611D2" w:rsidRDefault="008611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645AC" w14:textId="77777777" w:rsidR="00DD0B31" w:rsidRPr="002A0A1F" w:rsidRDefault="00DD0B31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</w:t>
    </w:r>
    <w:r w:rsidRPr="002A0A1F">
      <w:rPr>
        <w:rFonts w:ascii="Arial" w:hAnsi="Arial" w:cs="Arial"/>
        <w:sz w:val="18"/>
        <w:szCs w:val="18"/>
      </w:rPr>
      <w:t xml:space="preserve">Seite 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 w:rsidR="00E7691A">
      <w:rPr>
        <w:rStyle w:val="Seitenzahl"/>
        <w:rFonts w:ascii="Arial" w:hAnsi="Arial" w:cs="Arial"/>
        <w:noProof/>
        <w:sz w:val="18"/>
        <w:szCs w:val="18"/>
      </w:rPr>
      <w:t>4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  <w:r w:rsidRPr="002A0A1F">
      <w:rPr>
        <w:rStyle w:val="Seitenzahl"/>
        <w:rFonts w:ascii="Arial" w:hAnsi="Arial" w:cs="Arial"/>
        <w:sz w:val="18"/>
        <w:szCs w:val="18"/>
      </w:rPr>
      <w:t xml:space="preserve"> von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 w:rsidR="00E7691A">
      <w:rPr>
        <w:rStyle w:val="Seitenzahl"/>
        <w:rFonts w:ascii="Arial" w:hAnsi="Arial" w:cs="Arial"/>
        <w:noProof/>
        <w:sz w:val="18"/>
        <w:szCs w:val="18"/>
      </w:rPr>
      <w:t>4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43D2F" w14:textId="77777777" w:rsidR="008611D2" w:rsidRDefault="008611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3E151" w14:textId="77777777" w:rsidR="00296387" w:rsidRDefault="00296387">
      <w:r>
        <w:separator/>
      </w:r>
    </w:p>
  </w:footnote>
  <w:footnote w:type="continuationSeparator" w:id="0">
    <w:p w14:paraId="20C09FF2" w14:textId="77777777" w:rsidR="00296387" w:rsidRDefault="00296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8618" w14:textId="77777777" w:rsidR="008611D2" w:rsidRDefault="008611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0B1E4" w14:textId="77777777" w:rsidR="008611D2" w:rsidRDefault="008611D2" w:rsidP="00825AC7">
    <w:pPr>
      <w:pStyle w:val="Kopfzeile"/>
      <w:tabs>
        <w:tab w:val="clear" w:pos="9072"/>
        <w:tab w:val="right" w:pos="9360"/>
      </w:tabs>
      <w:ind w:left="2544" w:right="-1418" w:firstLine="4296"/>
      <w:rPr>
        <w:lang w:val="en-US"/>
      </w:rPr>
    </w:pPr>
  </w:p>
  <w:p w14:paraId="761A170B" w14:textId="795F64F3" w:rsidR="00DD0B31" w:rsidRPr="003D200C" w:rsidRDefault="00DD0B31" w:rsidP="00825AC7">
    <w:pPr>
      <w:pStyle w:val="Kopfzeile"/>
      <w:tabs>
        <w:tab w:val="clear" w:pos="9072"/>
        <w:tab w:val="right" w:pos="9360"/>
      </w:tabs>
      <w:ind w:left="2544" w:right="-1418" w:firstLine="4296"/>
      <w:rPr>
        <w:lang w:val="en-US"/>
      </w:rPr>
    </w:pPr>
    <w:r w:rsidRPr="003D200C">
      <w:rPr>
        <w:lang w:val="en-US"/>
      </w:rPr>
      <w:tab/>
    </w:r>
    <w:r>
      <w:rPr>
        <w:noProof/>
        <w:lang w:eastAsia="zh-CN"/>
      </w:rPr>
      <w:drawing>
        <wp:inline distT="0" distB="0" distL="0" distR="0" wp14:anchorId="0B1B747A" wp14:editId="37502F88">
          <wp:extent cx="904875" cy="200025"/>
          <wp:effectExtent l="0" t="0" r="9525" b="9525"/>
          <wp:docPr id="290079685" name="Bild 2" descr="INDEX-25mm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-25mm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F2F7C1" w14:textId="77777777" w:rsidR="00DD0B31" w:rsidRDefault="00DD0B31" w:rsidP="008611D2">
    <w:pPr>
      <w:pStyle w:val="Kopfzeile"/>
      <w:tabs>
        <w:tab w:val="clear" w:pos="4536"/>
        <w:tab w:val="clear" w:pos="9072"/>
      </w:tabs>
      <w:ind w:left="5954"/>
      <w:jc w:val="center"/>
      <w:rPr>
        <w:rFonts w:ascii="Arial" w:hAnsi="Arial" w:cs="Arial"/>
        <w:sz w:val="16"/>
        <w:lang w:val="en-US"/>
      </w:rPr>
    </w:pPr>
  </w:p>
  <w:p w14:paraId="4117A392" w14:textId="195AA4EA" w:rsidR="00DD0B31" w:rsidRPr="008611D2" w:rsidRDefault="00DD0B31" w:rsidP="008611D2">
    <w:pPr>
      <w:pStyle w:val="Kopfzeile"/>
      <w:tabs>
        <w:tab w:val="clear" w:pos="4536"/>
        <w:tab w:val="clear" w:pos="9072"/>
      </w:tabs>
      <w:ind w:left="4962" w:right="-1418"/>
      <w:jc w:val="right"/>
      <w:rPr>
        <w:rFonts w:ascii="Arial" w:hAnsi="Arial" w:cs="Arial"/>
        <w:sz w:val="16"/>
      </w:rPr>
    </w:pPr>
    <w:r w:rsidRPr="008611D2">
      <w:rPr>
        <w:rFonts w:ascii="Arial" w:hAnsi="Arial" w:cs="Arial"/>
        <w:sz w:val="16"/>
      </w:rPr>
      <w:t xml:space="preserve">    </w:t>
    </w:r>
    <w:r w:rsidR="009E5184" w:rsidRPr="008611D2">
      <w:rPr>
        <w:rFonts w:ascii="Arial" w:hAnsi="Arial" w:cs="Arial"/>
        <w:sz w:val="16"/>
      </w:rPr>
      <w:t>Dreh-Fräszentr</w:t>
    </w:r>
    <w:r w:rsidR="008611D2" w:rsidRPr="008611D2">
      <w:rPr>
        <w:rFonts w:ascii="Arial" w:hAnsi="Arial" w:cs="Arial"/>
        <w:sz w:val="16"/>
      </w:rPr>
      <w:t xml:space="preserve">en </w:t>
    </w:r>
    <w:r w:rsidR="009E5184" w:rsidRPr="008611D2">
      <w:rPr>
        <w:rFonts w:ascii="Arial" w:hAnsi="Arial" w:cs="Arial"/>
        <w:sz w:val="16"/>
      </w:rPr>
      <w:t>INDEX G160</w:t>
    </w:r>
    <w:r w:rsidR="008611D2" w:rsidRPr="008611D2">
      <w:rPr>
        <w:rFonts w:ascii="Arial" w:hAnsi="Arial" w:cs="Arial"/>
        <w:sz w:val="16"/>
      </w:rPr>
      <w:t xml:space="preserve"> / T</w:t>
    </w:r>
    <w:r w:rsidR="008611D2">
      <w:rPr>
        <w:rFonts w:ascii="Arial" w:hAnsi="Arial" w:cs="Arial"/>
        <w:sz w:val="16"/>
      </w:rPr>
      <w:t>RAUB TNX160</w:t>
    </w:r>
  </w:p>
  <w:p w14:paraId="42EAE690" w14:textId="77777777" w:rsidR="00DD0B31" w:rsidRPr="008611D2" w:rsidRDefault="00DD0B31" w:rsidP="00BB70B6">
    <w:pPr>
      <w:pStyle w:val="Kopfzeile"/>
      <w:tabs>
        <w:tab w:val="clear" w:pos="4536"/>
        <w:tab w:val="clear" w:pos="9072"/>
      </w:tabs>
      <w:ind w:left="6840" w:right="-1418"/>
      <w:jc w:val="right"/>
      <w:rPr>
        <w:rFonts w:ascii="Arial" w:hAnsi="Arial" w:cs="Arial"/>
        <w:sz w:val="16"/>
      </w:rPr>
    </w:pPr>
  </w:p>
  <w:p w14:paraId="489C09F0" w14:textId="77777777" w:rsidR="00DD0B31" w:rsidRPr="008611D2" w:rsidRDefault="00DD0B31" w:rsidP="00BB70B6">
    <w:pPr>
      <w:pStyle w:val="Kopfzeile"/>
      <w:tabs>
        <w:tab w:val="clear" w:pos="4536"/>
        <w:tab w:val="clear" w:pos="9072"/>
      </w:tabs>
      <w:ind w:left="6840" w:right="-1418"/>
      <w:jc w:val="right"/>
      <w:rPr>
        <w:rFonts w:ascii="Arial" w:hAnsi="Arial" w:cs="Arial"/>
        <w:sz w:val="16"/>
      </w:rPr>
    </w:pPr>
  </w:p>
  <w:p w14:paraId="25361E0C" w14:textId="77777777" w:rsidR="00DD0B31" w:rsidRPr="00AE64C2" w:rsidRDefault="00DD0B31" w:rsidP="00AE64C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B601" w14:textId="77777777" w:rsidR="008611D2" w:rsidRDefault="008611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103B"/>
    <w:multiLevelType w:val="hybridMultilevel"/>
    <w:tmpl w:val="B61283F8"/>
    <w:lvl w:ilvl="0" w:tplc="358828D4">
      <w:numFmt w:val="bullet"/>
      <w:lvlText w:val="•"/>
      <w:lvlJc w:val="left"/>
      <w:pPr>
        <w:ind w:left="712" w:hanging="57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9C749F9"/>
    <w:multiLevelType w:val="hybridMultilevel"/>
    <w:tmpl w:val="29144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A44EF"/>
    <w:multiLevelType w:val="hybridMultilevel"/>
    <w:tmpl w:val="7FE02896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A3F40EA"/>
    <w:multiLevelType w:val="multilevel"/>
    <w:tmpl w:val="0C0A2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8136DB"/>
    <w:multiLevelType w:val="hybridMultilevel"/>
    <w:tmpl w:val="8F2AEB0C"/>
    <w:lvl w:ilvl="0" w:tplc="0B62E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A016B"/>
    <w:multiLevelType w:val="hybridMultilevel"/>
    <w:tmpl w:val="6DB061C4"/>
    <w:lvl w:ilvl="0" w:tplc="0CEABA8E">
      <w:numFmt w:val="bullet"/>
      <w:lvlText w:val="•"/>
      <w:lvlJc w:val="left"/>
      <w:pPr>
        <w:ind w:left="712" w:hanging="57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7ADE6714"/>
    <w:multiLevelType w:val="hybridMultilevel"/>
    <w:tmpl w:val="56B007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6711B"/>
    <w:multiLevelType w:val="hybridMultilevel"/>
    <w:tmpl w:val="E03C0D06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649090540">
    <w:abstractNumId w:val="4"/>
  </w:num>
  <w:num w:numId="2" w16cid:durableId="1477381990">
    <w:abstractNumId w:val="3"/>
  </w:num>
  <w:num w:numId="3" w16cid:durableId="586813899">
    <w:abstractNumId w:val="1"/>
  </w:num>
  <w:num w:numId="4" w16cid:durableId="733164495">
    <w:abstractNumId w:val="2"/>
  </w:num>
  <w:num w:numId="5" w16cid:durableId="2019500948">
    <w:abstractNumId w:val="0"/>
  </w:num>
  <w:num w:numId="6" w16cid:durableId="42103261">
    <w:abstractNumId w:val="6"/>
  </w:num>
  <w:num w:numId="7" w16cid:durableId="1625116954">
    <w:abstractNumId w:val="5"/>
  </w:num>
  <w:num w:numId="8" w16cid:durableId="418276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72"/>
    <w:rsid w:val="000001ED"/>
    <w:rsid w:val="000004DE"/>
    <w:rsid w:val="00000C75"/>
    <w:rsid w:val="00000CF3"/>
    <w:rsid w:val="00003F66"/>
    <w:rsid w:val="00010B35"/>
    <w:rsid w:val="00011F31"/>
    <w:rsid w:val="00012CB6"/>
    <w:rsid w:val="0001322D"/>
    <w:rsid w:val="00013608"/>
    <w:rsid w:val="000145DC"/>
    <w:rsid w:val="00021660"/>
    <w:rsid w:val="000223C7"/>
    <w:rsid w:val="0002718C"/>
    <w:rsid w:val="00031013"/>
    <w:rsid w:val="000330EB"/>
    <w:rsid w:val="00033FAB"/>
    <w:rsid w:val="00037BA7"/>
    <w:rsid w:val="00037DD6"/>
    <w:rsid w:val="000417E2"/>
    <w:rsid w:val="00042DA3"/>
    <w:rsid w:val="00046FB5"/>
    <w:rsid w:val="00050D75"/>
    <w:rsid w:val="00062E38"/>
    <w:rsid w:val="00064902"/>
    <w:rsid w:val="00071092"/>
    <w:rsid w:val="000777C5"/>
    <w:rsid w:val="00080E86"/>
    <w:rsid w:val="0008729A"/>
    <w:rsid w:val="00092A02"/>
    <w:rsid w:val="000A09F9"/>
    <w:rsid w:val="000A0DDD"/>
    <w:rsid w:val="000A6B85"/>
    <w:rsid w:val="000A7F31"/>
    <w:rsid w:val="000B0B5B"/>
    <w:rsid w:val="000B1A1E"/>
    <w:rsid w:val="000C2336"/>
    <w:rsid w:val="000C6A32"/>
    <w:rsid w:val="000D0A3A"/>
    <w:rsid w:val="000D22C6"/>
    <w:rsid w:val="000D3A08"/>
    <w:rsid w:val="000D546A"/>
    <w:rsid w:val="000E6CC6"/>
    <w:rsid w:val="000E7045"/>
    <w:rsid w:val="000E7E0D"/>
    <w:rsid w:val="00107B6B"/>
    <w:rsid w:val="00107F92"/>
    <w:rsid w:val="0011189B"/>
    <w:rsid w:val="00112619"/>
    <w:rsid w:val="00120659"/>
    <w:rsid w:val="001222ED"/>
    <w:rsid w:val="00123D45"/>
    <w:rsid w:val="0012717A"/>
    <w:rsid w:val="00130697"/>
    <w:rsid w:val="0013100D"/>
    <w:rsid w:val="00131AC4"/>
    <w:rsid w:val="0013320E"/>
    <w:rsid w:val="00134120"/>
    <w:rsid w:val="001365DF"/>
    <w:rsid w:val="00140201"/>
    <w:rsid w:val="00143AF0"/>
    <w:rsid w:val="00144799"/>
    <w:rsid w:val="00144D74"/>
    <w:rsid w:val="00145EF9"/>
    <w:rsid w:val="00146885"/>
    <w:rsid w:val="00147EF5"/>
    <w:rsid w:val="0015427D"/>
    <w:rsid w:val="0016091D"/>
    <w:rsid w:val="00173A79"/>
    <w:rsid w:val="00181FF2"/>
    <w:rsid w:val="001824A6"/>
    <w:rsid w:val="001862C6"/>
    <w:rsid w:val="001867F8"/>
    <w:rsid w:val="00186F99"/>
    <w:rsid w:val="00191224"/>
    <w:rsid w:val="001913D5"/>
    <w:rsid w:val="00192759"/>
    <w:rsid w:val="001936F2"/>
    <w:rsid w:val="00195AFF"/>
    <w:rsid w:val="001960C7"/>
    <w:rsid w:val="001A0FDA"/>
    <w:rsid w:val="001A1972"/>
    <w:rsid w:val="001A27F4"/>
    <w:rsid w:val="001A4133"/>
    <w:rsid w:val="001B1E13"/>
    <w:rsid w:val="001B241B"/>
    <w:rsid w:val="001B2FB1"/>
    <w:rsid w:val="001B36CA"/>
    <w:rsid w:val="001B39F6"/>
    <w:rsid w:val="001B7AF4"/>
    <w:rsid w:val="001D5C7B"/>
    <w:rsid w:val="001E05DD"/>
    <w:rsid w:val="001E1539"/>
    <w:rsid w:val="001F6AF7"/>
    <w:rsid w:val="00201559"/>
    <w:rsid w:val="00206324"/>
    <w:rsid w:val="00207497"/>
    <w:rsid w:val="00207885"/>
    <w:rsid w:val="00207A5E"/>
    <w:rsid w:val="00211AF2"/>
    <w:rsid w:val="00211EC5"/>
    <w:rsid w:val="00212595"/>
    <w:rsid w:val="0021387E"/>
    <w:rsid w:val="002208C9"/>
    <w:rsid w:val="002213FD"/>
    <w:rsid w:val="002219C6"/>
    <w:rsid w:val="00222D86"/>
    <w:rsid w:val="00224559"/>
    <w:rsid w:val="00225696"/>
    <w:rsid w:val="0023242C"/>
    <w:rsid w:val="0023479C"/>
    <w:rsid w:val="00235ED6"/>
    <w:rsid w:val="002361B1"/>
    <w:rsid w:val="002373E8"/>
    <w:rsid w:val="002508F8"/>
    <w:rsid w:val="00252394"/>
    <w:rsid w:val="00256000"/>
    <w:rsid w:val="00256628"/>
    <w:rsid w:val="00261CB4"/>
    <w:rsid w:val="00262014"/>
    <w:rsid w:val="00262D8D"/>
    <w:rsid w:val="0026448E"/>
    <w:rsid w:val="00267FDD"/>
    <w:rsid w:val="0027071B"/>
    <w:rsid w:val="00270ADC"/>
    <w:rsid w:val="00276D37"/>
    <w:rsid w:val="00284137"/>
    <w:rsid w:val="00284D73"/>
    <w:rsid w:val="00285D73"/>
    <w:rsid w:val="00286357"/>
    <w:rsid w:val="00294D30"/>
    <w:rsid w:val="00295D86"/>
    <w:rsid w:val="00296387"/>
    <w:rsid w:val="0029715D"/>
    <w:rsid w:val="002A0A1F"/>
    <w:rsid w:val="002A7B4A"/>
    <w:rsid w:val="002B28B3"/>
    <w:rsid w:val="002C056C"/>
    <w:rsid w:val="002C2782"/>
    <w:rsid w:val="002C52CB"/>
    <w:rsid w:val="002D038B"/>
    <w:rsid w:val="002D0FF4"/>
    <w:rsid w:val="002D2928"/>
    <w:rsid w:val="002D37B1"/>
    <w:rsid w:val="002D574E"/>
    <w:rsid w:val="002E4C83"/>
    <w:rsid w:val="002E52C6"/>
    <w:rsid w:val="002E572F"/>
    <w:rsid w:val="002E653C"/>
    <w:rsid w:val="002E74F7"/>
    <w:rsid w:val="002F1515"/>
    <w:rsid w:val="002F1927"/>
    <w:rsid w:val="002F40C9"/>
    <w:rsid w:val="002F51C3"/>
    <w:rsid w:val="002F51D6"/>
    <w:rsid w:val="002F7069"/>
    <w:rsid w:val="003025B4"/>
    <w:rsid w:val="0030559E"/>
    <w:rsid w:val="0030733E"/>
    <w:rsid w:val="003172F8"/>
    <w:rsid w:val="003240E3"/>
    <w:rsid w:val="00330C01"/>
    <w:rsid w:val="003338E2"/>
    <w:rsid w:val="00334401"/>
    <w:rsid w:val="00334751"/>
    <w:rsid w:val="00337BB5"/>
    <w:rsid w:val="0034237E"/>
    <w:rsid w:val="00350072"/>
    <w:rsid w:val="00353117"/>
    <w:rsid w:val="00360228"/>
    <w:rsid w:val="00360722"/>
    <w:rsid w:val="0036385F"/>
    <w:rsid w:val="003654C4"/>
    <w:rsid w:val="0036726E"/>
    <w:rsid w:val="00367F5D"/>
    <w:rsid w:val="0037311D"/>
    <w:rsid w:val="0037625A"/>
    <w:rsid w:val="00377560"/>
    <w:rsid w:val="0037788C"/>
    <w:rsid w:val="00377F47"/>
    <w:rsid w:val="00380258"/>
    <w:rsid w:val="00381EF9"/>
    <w:rsid w:val="003860F4"/>
    <w:rsid w:val="003924B0"/>
    <w:rsid w:val="003925A8"/>
    <w:rsid w:val="00393024"/>
    <w:rsid w:val="00394986"/>
    <w:rsid w:val="003957DE"/>
    <w:rsid w:val="00395A28"/>
    <w:rsid w:val="00397A76"/>
    <w:rsid w:val="003A7C1B"/>
    <w:rsid w:val="003A7E49"/>
    <w:rsid w:val="003B0528"/>
    <w:rsid w:val="003B0F98"/>
    <w:rsid w:val="003B5BA9"/>
    <w:rsid w:val="003C0206"/>
    <w:rsid w:val="003C0AF9"/>
    <w:rsid w:val="003C2277"/>
    <w:rsid w:val="003C6139"/>
    <w:rsid w:val="003D0EAD"/>
    <w:rsid w:val="003D1280"/>
    <w:rsid w:val="003D35B8"/>
    <w:rsid w:val="003D722D"/>
    <w:rsid w:val="003E37D9"/>
    <w:rsid w:val="003E4D2B"/>
    <w:rsid w:val="003E5584"/>
    <w:rsid w:val="003F3B91"/>
    <w:rsid w:val="003F60D2"/>
    <w:rsid w:val="00406AB0"/>
    <w:rsid w:val="0041150F"/>
    <w:rsid w:val="00414CF2"/>
    <w:rsid w:val="004152AF"/>
    <w:rsid w:val="00415A87"/>
    <w:rsid w:val="00415D03"/>
    <w:rsid w:val="00416E5A"/>
    <w:rsid w:val="004203A9"/>
    <w:rsid w:val="004204C8"/>
    <w:rsid w:val="00422AE3"/>
    <w:rsid w:val="004246F5"/>
    <w:rsid w:val="00424E75"/>
    <w:rsid w:val="00426195"/>
    <w:rsid w:val="00432DD2"/>
    <w:rsid w:val="00433009"/>
    <w:rsid w:val="00433266"/>
    <w:rsid w:val="00443DDF"/>
    <w:rsid w:val="00444993"/>
    <w:rsid w:val="00445029"/>
    <w:rsid w:val="00446750"/>
    <w:rsid w:val="00447215"/>
    <w:rsid w:val="004577EF"/>
    <w:rsid w:val="0046004B"/>
    <w:rsid w:val="00460631"/>
    <w:rsid w:val="00463188"/>
    <w:rsid w:val="00463DF5"/>
    <w:rsid w:val="00467F33"/>
    <w:rsid w:val="004720E4"/>
    <w:rsid w:val="0047346F"/>
    <w:rsid w:val="00476642"/>
    <w:rsid w:val="004804E4"/>
    <w:rsid w:val="00480651"/>
    <w:rsid w:val="0048614F"/>
    <w:rsid w:val="00495221"/>
    <w:rsid w:val="0049679A"/>
    <w:rsid w:val="00496CE2"/>
    <w:rsid w:val="00497A31"/>
    <w:rsid w:val="004A094C"/>
    <w:rsid w:val="004A2FB6"/>
    <w:rsid w:val="004A729F"/>
    <w:rsid w:val="004B0F49"/>
    <w:rsid w:val="004B2855"/>
    <w:rsid w:val="004B4C43"/>
    <w:rsid w:val="004B5958"/>
    <w:rsid w:val="004B5999"/>
    <w:rsid w:val="004B6991"/>
    <w:rsid w:val="004C27C0"/>
    <w:rsid w:val="004C61DA"/>
    <w:rsid w:val="004D0E02"/>
    <w:rsid w:val="004D161C"/>
    <w:rsid w:val="004D5118"/>
    <w:rsid w:val="004D5409"/>
    <w:rsid w:val="004D75BA"/>
    <w:rsid w:val="004E33B1"/>
    <w:rsid w:val="004E3D1C"/>
    <w:rsid w:val="004E6BF4"/>
    <w:rsid w:val="004E756E"/>
    <w:rsid w:val="004F048C"/>
    <w:rsid w:val="004F1087"/>
    <w:rsid w:val="004F6632"/>
    <w:rsid w:val="004F741B"/>
    <w:rsid w:val="00500E3C"/>
    <w:rsid w:val="00501800"/>
    <w:rsid w:val="00503532"/>
    <w:rsid w:val="005042F8"/>
    <w:rsid w:val="00504380"/>
    <w:rsid w:val="00521067"/>
    <w:rsid w:val="00521CF6"/>
    <w:rsid w:val="0052567E"/>
    <w:rsid w:val="0053108F"/>
    <w:rsid w:val="005310D0"/>
    <w:rsid w:val="0053423A"/>
    <w:rsid w:val="00534760"/>
    <w:rsid w:val="00543713"/>
    <w:rsid w:val="00543C7E"/>
    <w:rsid w:val="00544BB2"/>
    <w:rsid w:val="0055166D"/>
    <w:rsid w:val="00556261"/>
    <w:rsid w:val="00557941"/>
    <w:rsid w:val="005609F5"/>
    <w:rsid w:val="00566436"/>
    <w:rsid w:val="00566701"/>
    <w:rsid w:val="00573260"/>
    <w:rsid w:val="00573C44"/>
    <w:rsid w:val="005753FB"/>
    <w:rsid w:val="0057633A"/>
    <w:rsid w:val="00577F45"/>
    <w:rsid w:val="00581ADC"/>
    <w:rsid w:val="00590BA3"/>
    <w:rsid w:val="005A0B98"/>
    <w:rsid w:val="005A0EF1"/>
    <w:rsid w:val="005A353A"/>
    <w:rsid w:val="005A48B3"/>
    <w:rsid w:val="005A549F"/>
    <w:rsid w:val="005B0DF3"/>
    <w:rsid w:val="005B2EAC"/>
    <w:rsid w:val="005C021E"/>
    <w:rsid w:val="005C69B1"/>
    <w:rsid w:val="005C6D45"/>
    <w:rsid w:val="005C6E5A"/>
    <w:rsid w:val="005C721F"/>
    <w:rsid w:val="005D014F"/>
    <w:rsid w:val="005D018C"/>
    <w:rsid w:val="005D5FB8"/>
    <w:rsid w:val="005E00FA"/>
    <w:rsid w:val="005E29EC"/>
    <w:rsid w:val="005F0B54"/>
    <w:rsid w:val="005F3E24"/>
    <w:rsid w:val="005F3E80"/>
    <w:rsid w:val="005F55FF"/>
    <w:rsid w:val="005F5611"/>
    <w:rsid w:val="005F7A16"/>
    <w:rsid w:val="006027CB"/>
    <w:rsid w:val="006160DC"/>
    <w:rsid w:val="0062379F"/>
    <w:rsid w:val="00623873"/>
    <w:rsid w:val="00627581"/>
    <w:rsid w:val="00630673"/>
    <w:rsid w:val="00637120"/>
    <w:rsid w:val="0065153A"/>
    <w:rsid w:val="00651BEB"/>
    <w:rsid w:val="00652C46"/>
    <w:rsid w:val="006534CD"/>
    <w:rsid w:val="00656679"/>
    <w:rsid w:val="00661DBD"/>
    <w:rsid w:val="0066447E"/>
    <w:rsid w:val="00665914"/>
    <w:rsid w:val="00672561"/>
    <w:rsid w:val="006727C1"/>
    <w:rsid w:val="00675059"/>
    <w:rsid w:val="00677566"/>
    <w:rsid w:val="006803F7"/>
    <w:rsid w:val="00680B31"/>
    <w:rsid w:val="0068145C"/>
    <w:rsid w:val="00683EF2"/>
    <w:rsid w:val="00684280"/>
    <w:rsid w:val="00695EC9"/>
    <w:rsid w:val="00697B66"/>
    <w:rsid w:val="006A05D0"/>
    <w:rsid w:val="006A5028"/>
    <w:rsid w:val="006A588B"/>
    <w:rsid w:val="006A5BF1"/>
    <w:rsid w:val="006A673A"/>
    <w:rsid w:val="006A6F2B"/>
    <w:rsid w:val="006B2793"/>
    <w:rsid w:val="006B4984"/>
    <w:rsid w:val="006C0FD9"/>
    <w:rsid w:val="006C3E18"/>
    <w:rsid w:val="006C44E2"/>
    <w:rsid w:val="006D1B3E"/>
    <w:rsid w:val="006E0AE1"/>
    <w:rsid w:val="006E1B3D"/>
    <w:rsid w:val="006E6820"/>
    <w:rsid w:val="006F02BF"/>
    <w:rsid w:val="006F25E1"/>
    <w:rsid w:val="006F2CD8"/>
    <w:rsid w:val="006F3F67"/>
    <w:rsid w:val="006F6209"/>
    <w:rsid w:val="006F7DCA"/>
    <w:rsid w:val="007048E3"/>
    <w:rsid w:val="00705EA2"/>
    <w:rsid w:val="00706415"/>
    <w:rsid w:val="0071341B"/>
    <w:rsid w:val="00713606"/>
    <w:rsid w:val="00717063"/>
    <w:rsid w:val="00717BFA"/>
    <w:rsid w:val="007250CD"/>
    <w:rsid w:val="00727E85"/>
    <w:rsid w:val="007308AA"/>
    <w:rsid w:val="00734673"/>
    <w:rsid w:val="00740E7F"/>
    <w:rsid w:val="00741A98"/>
    <w:rsid w:val="00743315"/>
    <w:rsid w:val="00743C92"/>
    <w:rsid w:val="00745E7E"/>
    <w:rsid w:val="00747230"/>
    <w:rsid w:val="00751511"/>
    <w:rsid w:val="00755387"/>
    <w:rsid w:val="0076014F"/>
    <w:rsid w:val="00760FEC"/>
    <w:rsid w:val="00761098"/>
    <w:rsid w:val="00761B1E"/>
    <w:rsid w:val="007645CD"/>
    <w:rsid w:val="00764F00"/>
    <w:rsid w:val="007652CE"/>
    <w:rsid w:val="007661DA"/>
    <w:rsid w:val="0077349B"/>
    <w:rsid w:val="00775FA5"/>
    <w:rsid w:val="00776180"/>
    <w:rsid w:val="00777D81"/>
    <w:rsid w:val="00786B4C"/>
    <w:rsid w:val="00790FA8"/>
    <w:rsid w:val="00793000"/>
    <w:rsid w:val="00795073"/>
    <w:rsid w:val="00796030"/>
    <w:rsid w:val="0079786D"/>
    <w:rsid w:val="007A7797"/>
    <w:rsid w:val="007B0855"/>
    <w:rsid w:val="007B1419"/>
    <w:rsid w:val="007B1DCF"/>
    <w:rsid w:val="007B1E16"/>
    <w:rsid w:val="007B2595"/>
    <w:rsid w:val="007B5F69"/>
    <w:rsid w:val="007B737D"/>
    <w:rsid w:val="007D169D"/>
    <w:rsid w:val="007E06B0"/>
    <w:rsid w:val="007E37E5"/>
    <w:rsid w:val="007F052C"/>
    <w:rsid w:val="00800F22"/>
    <w:rsid w:val="0080270B"/>
    <w:rsid w:val="008036F7"/>
    <w:rsid w:val="00807CE8"/>
    <w:rsid w:val="00810C19"/>
    <w:rsid w:val="00813110"/>
    <w:rsid w:val="008133B0"/>
    <w:rsid w:val="00815941"/>
    <w:rsid w:val="008177F0"/>
    <w:rsid w:val="008178F5"/>
    <w:rsid w:val="00825AC7"/>
    <w:rsid w:val="00830947"/>
    <w:rsid w:val="00847216"/>
    <w:rsid w:val="00847D66"/>
    <w:rsid w:val="00851066"/>
    <w:rsid w:val="00852ED2"/>
    <w:rsid w:val="00853E22"/>
    <w:rsid w:val="008563EB"/>
    <w:rsid w:val="0085749B"/>
    <w:rsid w:val="00857CFA"/>
    <w:rsid w:val="008611D2"/>
    <w:rsid w:val="0086192A"/>
    <w:rsid w:val="0086295F"/>
    <w:rsid w:val="00863CDE"/>
    <w:rsid w:val="008656DC"/>
    <w:rsid w:val="0086727A"/>
    <w:rsid w:val="00867F14"/>
    <w:rsid w:val="0087282F"/>
    <w:rsid w:val="00877CBA"/>
    <w:rsid w:val="00884C96"/>
    <w:rsid w:val="00884F71"/>
    <w:rsid w:val="008858D7"/>
    <w:rsid w:val="0088677D"/>
    <w:rsid w:val="008A0474"/>
    <w:rsid w:val="008A3663"/>
    <w:rsid w:val="008A6D13"/>
    <w:rsid w:val="008B5385"/>
    <w:rsid w:val="008B58B8"/>
    <w:rsid w:val="008B765E"/>
    <w:rsid w:val="008C104C"/>
    <w:rsid w:val="008C3A38"/>
    <w:rsid w:val="008C4772"/>
    <w:rsid w:val="008C66BE"/>
    <w:rsid w:val="008D1A51"/>
    <w:rsid w:val="008D6EB5"/>
    <w:rsid w:val="008E1553"/>
    <w:rsid w:val="008E268C"/>
    <w:rsid w:val="008E480B"/>
    <w:rsid w:val="008F1C00"/>
    <w:rsid w:val="00901621"/>
    <w:rsid w:val="00901EBA"/>
    <w:rsid w:val="00904D06"/>
    <w:rsid w:val="00904F52"/>
    <w:rsid w:val="0091190A"/>
    <w:rsid w:val="00917766"/>
    <w:rsid w:val="00917F2E"/>
    <w:rsid w:val="009218D6"/>
    <w:rsid w:val="00926B09"/>
    <w:rsid w:val="0093136C"/>
    <w:rsid w:val="0094120E"/>
    <w:rsid w:val="00946D88"/>
    <w:rsid w:val="00955761"/>
    <w:rsid w:val="009661B7"/>
    <w:rsid w:val="00971814"/>
    <w:rsid w:val="00971F9F"/>
    <w:rsid w:val="00973EF0"/>
    <w:rsid w:val="00976D01"/>
    <w:rsid w:val="00980C02"/>
    <w:rsid w:val="00985312"/>
    <w:rsid w:val="00985594"/>
    <w:rsid w:val="00993817"/>
    <w:rsid w:val="00994501"/>
    <w:rsid w:val="009951D4"/>
    <w:rsid w:val="009A0DFB"/>
    <w:rsid w:val="009A107A"/>
    <w:rsid w:val="009A2376"/>
    <w:rsid w:val="009B59B8"/>
    <w:rsid w:val="009C097C"/>
    <w:rsid w:val="009C133D"/>
    <w:rsid w:val="009C1E01"/>
    <w:rsid w:val="009C44F2"/>
    <w:rsid w:val="009C62FE"/>
    <w:rsid w:val="009D0500"/>
    <w:rsid w:val="009D31CF"/>
    <w:rsid w:val="009D4610"/>
    <w:rsid w:val="009E1274"/>
    <w:rsid w:val="009E1C1C"/>
    <w:rsid w:val="009E4663"/>
    <w:rsid w:val="009E5184"/>
    <w:rsid w:val="009E6EA1"/>
    <w:rsid w:val="009E766F"/>
    <w:rsid w:val="009F0B3F"/>
    <w:rsid w:val="009F163D"/>
    <w:rsid w:val="009F28B1"/>
    <w:rsid w:val="009F3B72"/>
    <w:rsid w:val="009F446A"/>
    <w:rsid w:val="009F5052"/>
    <w:rsid w:val="009F50B0"/>
    <w:rsid w:val="009F7512"/>
    <w:rsid w:val="009F790F"/>
    <w:rsid w:val="009F7AF6"/>
    <w:rsid w:val="009F7F05"/>
    <w:rsid w:val="00A01FCF"/>
    <w:rsid w:val="00A135AE"/>
    <w:rsid w:val="00A2653D"/>
    <w:rsid w:val="00A269CE"/>
    <w:rsid w:val="00A32630"/>
    <w:rsid w:val="00A37BBA"/>
    <w:rsid w:val="00A504A0"/>
    <w:rsid w:val="00A50F9C"/>
    <w:rsid w:val="00A53DF8"/>
    <w:rsid w:val="00A662A5"/>
    <w:rsid w:val="00A70851"/>
    <w:rsid w:val="00A716C4"/>
    <w:rsid w:val="00A72BAE"/>
    <w:rsid w:val="00A73611"/>
    <w:rsid w:val="00A73987"/>
    <w:rsid w:val="00A740FB"/>
    <w:rsid w:val="00A769FD"/>
    <w:rsid w:val="00A7749A"/>
    <w:rsid w:val="00A81887"/>
    <w:rsid w:val="00A81CD2"/>
    <w:rsid w:val="00A83A93"/>
    <w:rsid w:val="00A83F0A"/>
    <w:rsid w:val="00A84A49"/>
    <w:rsid w:val="00A94162"/>
    <w:rsid w:val="00A95DB7"/>
    <w:rsid w:val="00A96079"/>
    <w:rsid w:val="00A96370"/>
    <w:rsid w:val="00AA49F6"/>
    <w:rsid w:val="00AA4DE4"/>
    <w:rsid w:val="00AB000E"/>
    <w:rsid w:val="00AB253A"/>
    <w:rsid w:val="00AB5101"/>
    <w:rsid w:val="00AB58CD"/>
    <w:rsid w:val="00AC1A7A"/>
    <w:rsid w:val="00AC37E7"/>
    <w:rsid w:val="00AD1B3A"/>
    <w:rsid w:val="00AD5157"/>
    <w:rsid w:val="00AE1178"/>
    <w:rsid w:val="00AE220D"/>
    <w:rsid w:val="00AE64C2"/>
    <w:rsid w:val="00AF04B8"/>
    <w:rsid w:val="00AF05E8"/>
    <w:rsid w:val="00B05448"/>
    <w:rsid w:val="00B062A9"/>
    <w:rsid w:val="00B106E6"/>
    <w:rsid w:val="00B143BF"/>
    <w:rsid w:val="00B2006E"/>
    <w:rsid w:val="00B20539"/>
    <w:rsid w:val="00B25869"/>
    <w:rsid w:val="00B268DF"/>
    <w:rsid w:val="00B32197"/>
    <w:rsid w:val="00B32BE0"/>
    <w:rsid w:val="00B33C24"/>
    <w:rsid w:val="00B44177"/>
    <w:rsid w:val="00B44208"/>
    <w:rsid w:val="00B44AA4"/>
    <w:rsid w:val="00B45956"/>
    <w:rsid w:val="00B500F4"/>
    <w:rsid w:val="00B50378"/>
    <w:rsid w:val="00B51C4A"/>
    <w:rsid w:val="00B57514"/>
    <w:rsid w:val="00B6086D"/>
    <w:rsid w:val="00B60D19"/>
    <w:rsid w:val="00B611AA"/>
    <w:rsid w:val="00B6229B"/>
    <w:rsid w:val="00B7017D"/>
    <w:rsid w:val="00B71BC4"/>
    <w:rsid w:val="00B724D5"/>
    <w:rsid w:val="00B76920"/>
    <w:rsid w:val="00B77D05"/>
    <w:rsid w:val="00B820B3"/>
    <w:rsid w:val="00B8238B"/>
    <w:rsid w:val="00B841F2"/>
    <w:rsid w:val="00B87AC5"/>
    <w:rsid w:val="00B9037B"/>
    <w:rsid w:val="00B94FF5"/>
    <w:rsid w:val="00B96674"/>
    <w:rsid w:val="00BA4288"/>
    <w:rsid w:val="00BA4B6F"/>
    <w:rsid w:val="00BA57CA"/>
    <w:rsid w:val="00BA5C61"/>
    <w:rsid w:val="00BB3AEB"/>
    <w:rsid w:val="00BB6BC3"/>
    <w:rsid w:val="00BB70B6"/>
    <w:rsid w:val="00BC3AE0"/>
    <w:rsid w:val="00BC4430"/>
    <w:rsid w:val="00BC7772"/>
    <w:rsid w:val="00BD264F"/>
    <w:rsid w:val="00BD512C"/>
    <w:rsid w:val="00BE4EC9"/>
    <w:rsid w:val="00BE68C8"/>
    <w:rsid w:val="00BE7797"/>
    <w:rsid w:val="00BE79B9"/>
    <w:rsid w:val="00BF127F"/>
    <w:rsid w:val="00BF465A"/>
    <w:rsid w:val="00BF5362"/>
    <w:rsid w:val="00BF7959"/>
    <w:rsid w:val="00C01F56"/>
    <w:rsid w:val="00C0280E"/>
    <w:rsid w:val="00C0374E"/>
    <w:rsid w:val="00C06334"/>
    <w:rsid w:val="00C154E1"/>
    <w:rsid w:val="00C205C7"/>
    <w:rsid w:val="00C30808"/>
    <w:rsid w:val="00C35B6D"/>
    <w:rsid w:val="00C460E5"/>
    <w:rsid w:val="00C46CE0"/>
    <w:rsid w:val="00C52C2E"/>
    <w:rsid w:val="00C5688F"/>
    <w:rsid w:val="00C568C1"/>
    <w:rsid w:val="00C571F6"/>
    <w:rsid w:val="00C61F61"/>
    <w:rsid w:val="00C63FCB"/>
    <w:rsid w:val="00C70398"/>
    <w:rsid w:val="00C71D48"/>
    <w:rsid w:val="00C76642"/>
    <w:rsid w:val="00C804CE"/>
    <w:rsid w:val="00C80920"/>
    <w:rsid w:val="00C80D8C"/>
    <w:rsid w:val="00C80D9B"/>
    <w:rsid w:val="00C83872"/>
    <w:rsid w:val="00C86023"/>
    <w:rsid w:val="00C90F6D"/>
    <w:rsid w:val="00C91B10"/>
    <w:rsid w:val="00C921AF"/>
    <w:rsid w:val="00C9339F"/>
    <w:rsid w:val="00C96D56"/>
    <w:rsid w:val="00CA132B"/>
    <w:rsid w:val="00CA1540"/>
    <w:rsid w:val="00CA3275"/>
    <w:rsid w:val="00CA7E44"/>
    <w:rsid w:val="00CB3691"/>
    <w:rsid w:val="00CB4280"/>
    <w:rsid w:val="00CB43A0"/>
    <w:rsid w:val="00CB717F"/>
    <w:rsid w:val="00CC2163"/>
    <w:rsid w:val="00CC2E64"/>
    <w:rsid w:val="00CC3F7A"/>
    <w:rsid w:val="00CC7AA6"/>
    <w:rsid w:val="00CD0992"/>
    <w:rsid w:val="00CD1616"/>
    <w:rsid w:val="00CD59EA"/>
    <w:rsid w:val="00CD6CB0"/>
    <w:rsid w:val="00CD6D21"/>
    <w:rsid w:val="00CE0131"/>
    <w:rsid w:val="00CE0DA3"/>
    <w:rsid w:val="00CE3C6A"/>
    <w:rsid w:val="00CE4C4B"/>
    <w:rsid w:val="00CE5DA1"/>
    <w:rsid w:val="00CE6586"/>
    <w:rsid w:val="00CE66E9"/>
    <w:rsid w:val="00CF3E31"/>
    <w:rsid w:val="00D002BF"/>
    <w:rsid w:val="00D04BF0"/>
    <w:rsid w:val="00D14773"/>
    <w:rsid w:val="00D15798"/>
    <w:rsid w:val="00D16F4D"/>
    <w:rsid w:val="00D222A0"/>
    <w:rsid w:val="00D23ACD"/>
    <w:rsid w:val="00D25284"/>
    <w:rsid w:val="00D26A4B"/>
    <w:rsid w:val="00D2753C"/>
    <w:rsid w:val="00D335FC"/>
    <w:rsid w:val="00D407E1"/>
    <w:rsid w:val="00D50792"/>
    <w:rsid w:val="00D512FA"/>
    <w:rsid w:val="00D55953"/>
    <w:rsid w:val="00D56971"/>
    <w:rsid w:val="00D5710F"/>
    <w:rsid w:val="00D6241F"/>
    <w:rsid w:val="00D637A0"/>
    <w:rsid w:val="00D7009F"/>
    <w:rsid w:val="00D70682"/>
    <w:rsid w:val="00D71BAD"/>
    <w:rsid w:val="00D80C3D"/>
    <w:rsid w:val="00D82EFA"/>
    <w:rsid w:val="00D96A3F"/>
    <w:rsid w:val="00D96EF7"/>
    <w:rsid w:val="00DA105D"/>
    <w:rsid w:val="00DA2163"/>
    <w:rsid w:val="00DA3ABF"/>
    <w:rsid w:val="00DA4919"/>
    <w:rsid w:val="00DA75DC"/>
    <w:rsid w:val="00DB20D7"/>
    <w:rsid w:val="00DB3BB2"/>
    <w:rsid w:val="00DB6DA3"/>
    <w:rsid w:val="00DB7DF8"/>
    <w:rsid w:val="00DC6E3B"/>
    <w:rsid w:val="00DD0B31"/>
    <w:rsid w:val="00DD273B"/>
    <w:rsid w:val="00DE2001"/>
    <w:rsid w:val="00DE24B7"/>
    <w:rsid w:val="00DE40C9"/>
    <w:rsid w:val="00DE678D"/>
    <w:rsid w:val="00DF72D5"/>
    <w:rsid w:val="00E012F8"/>
    <w:rsid w:val="00E07D31"/>
    <w:rsid w:val="00E07DAF"/>
    <w:rsid w:val="00E1488A"/>
    <w:rsid w:val="00E148DF"/>
    <w:rsid w:val="00E17752"/>
    <w:rsid w:val="00E217FF"/>
    <w:rsid w:val="00E24CCC"/>
    <w:rsid w:val="00E303AC"/>
    <w:rsid w:val="00E35A69"/>
    <w:rsid w:val="00E3784D"/>
    <w:rsid w:val="00E462F7"/>
    <w:rsid w:val="00E54BD0"/>
    <w:rsid w:val="00E571FC"/>
    <w:rsid w:val="00E57B74"/>
    <w:rsid w:val="00E6620E"/>
    <w:rsid w:val="00E66264"/>
    <w:rsid w:val="00E723EA"/>
    <w:rsid w:val="00E74DB2"/>
    <w:rsid w:val="00E7691A"/>
    <w:rsid w:val="00E82AA1"/>
    <w:rsid w:val="00E84366"/>
    <w:rsid w:val="00E87DB3"/>
    <w:rsid w:val="00E87DD3"/>
    <w:rsid w:val="00E905AC"/>
    <w:rsid w:val="00E9250E"/>
    <w:rsid w:val="00E93E16"/>
    <w:rsid w:val="00E94870"/>
    <w:rsid w:val="00EA402B"/>
    <w:rsid w:val="00EA613C"/>
    <w:rsid w:val="00EA7A1A"/>
    <w:rsid w:val="00EB31E0"/>
    <w:rsid w:val="00EB7121"/>
    <w:rsid w:val="00EB7CCB"/>
    <w:rsid w:val="00EC0EE6"/>
    <w:rsid w:val="00EC1A51"/>
    <w:rsid w:val="00EC3D9F"/>
    <w:rsid w:val="00EC4279"/>
    <w:rsid w:val="00EC58B3"/>
    <w:rsid w:val="00EC72BC"/>
    <w:rsid w:val="00ED2326"/>
    <w:rsid w:val="00ED3079"/>
    <w:rsid w:val="00ED3BC9"/>
    <w:rsid w:val="00ED3E50"/>
    <w:rsid w:val="00ED4E9A"/>
    <w:rsid w:val="00EE5971"/>
    <w:rsid w:val="00EE5A18"/>
    <w:rsid w:val="00EE769E"/>
    <w:rsid w:val="00EF0C75"/>
    <w:rsid w:val="00EF1934"/>
    <w:rsid w:val="00EF604A"/>
    <w:rsid w:val="00EF7037"/>
    <w:rsid w:val="00F01E4A"/>
    <w:rsid w:val="00F0517F"/>
    <w:rsid w:val="00F10062"/>
    <w:rsid w:val="00F10547"/>
    <w:rsid w:val="00F1602D"/>
    <w:rsid w:val="00F213B6"/>
    <w:rsid w:val="00F24684"/>
    <w:rsid w:val="00F2480C"/>
    <w:rsid w:val="00F249B1"/>
    <w:rsid w:val="00F26A5A"/>
    <w:rsid w:val="00F2707A"/>
    <w:rsid w:val="00F32C8A"/>
    <w:rsid w:val="00F36BF3"/>
    <w:rsid w:val="00F37509"/>
    <w:rsid w:val="00F3781E"/>
    <w:rsid w:val="00F45927"/>
    <w:rsid w:val="00F45B27"/>
    <w:rsid w:val="00F47829"/>
    <w:rsid w:val="00F502E3"/>
    <w:rsid w:val="00F5103E"/>
    <w:rsid w:val="00F51F5B"/>
    <w:rsid w:val="00F551E6"/>
    <w:rsid w:val="00F55D70"/>
    <w:rsid w:val="00F666F9"/>
    <w:rsid w:val="00F71EDD"/>
    <w:rsid w:val="00F74C07"/>
    <w:rsid w:val="00F75C79"/>
    <w:rsid w:val="00F76584"/>
    <w:rsid w:val="00F76CA9"/>
    <w:rsid w:val="00F76E56"/>
    <w:rsid w:val="00F77D68"/>
    <w:rsid w:val="00F822B2"/>
    <w:rsid w:val="00F84604"/>
    <w:rsid w:val="00F851F5"/>
    <w:rsid w:val="00F87C15"/>
    <w:rsid w:val="00F9394B"/>
    <w:rsid w:val="00F969E1"/>
    <w:rsid w:val="00FA3C6D"/>
    <w:rsid w:val="00FA6635"/>
    <w:rsid w:val="00FB13CF"/>
    <w:rsid w:val="00FB5DE6"/>
    <w:rsid w:val="00FB5E28"/>
    <w:rsid w:val="00FB740A"/>
    <w:rsid w:val="00FC429B"/>
    <w:rsid w:val="00FC74CE"/>
    <w:rsid w:val="00FC78CF"/>
    <w:rsid w:val="00FD6172"/>
    <w:rsid w:val="00FD6BE2"/>
    <w:rsid w:val="00FE24D6"/>
    <w:rsid w:val="00FE2B5E"/>
    <w:rsid w:val="00FE395A"/>
    <w:rsid w:val="00FE778B"/>
    <w:rsid w:val="00FF514D"/>
    <w:rsid w:val="00FF5369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2DFD16"/>
  <w15:docId w15:val="{29DEC681-7659-41EA-87D7-CC94922D8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25284"/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86295F"/>
    <w:pPr>
      <w:keepNext/>
      <w:outlineLvl w:val="2"/>
    </w:pPr>
    <w:rPr>
      <w:rFonts w:ascii="Arial" w:hAnsi="Arial"/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45E7E"/>
    <w:rPr>
      <w:color w:val="0000FF"/>
      <w:u w:val="single"/>
    </w:rPr>
  </w:style>
  <w:style w:type="paragraph" w:styleId="Sprechblasentext">
    <w:name w:val="Balloon Text"/>
    <w:basedOn w:val="Standard"/>
    <w:semiHidden/>
    <w:rsid w:val="008D6EB5"/>
    <w:rPr>
      <w:rFonts w:ascii="Tahoma" w:hAnsi="Tahoma" w:cs="Tahoma"/>
      <w:sz w:val="16"/>
      <w:szCs w:val="16"/>
    </w:rPr>
  </w:style>
  <w:style w:type="character" w:styleId="BesuchterLink">
    <w:name w:val="FollowedHyperlink"/>
    <w:rsid w:val="003E4D2B"/>
    <w:rPr>
      <w:color w:val="606420"/>
      <w:u w:val="single"/>
    </w:rPr>
  </w:style>
  <w:style w:type="paragraph" w:customStyle="1" w:styleId="berschrift32">
    <w:name w:val="Überschrift 32"/>
    <w:basedOn w:val="Standard"/>
    <w:rsid w:val="00A269CE"/>
    <w:pPr>
      <w:outlineLvl w:val="3"/>
    </w:pPr>
    <w:rPr>
      <w:b/>
      <w:bCs/>
      <w:color w:val="000000"/>
      <w:sz w:val="26"/>
      <w:szCs w:val="26"/>
    </w:rPr>
  </w:style>
  <w:style w:type="paragraph" w:styleId="Beschriftung">
    <w:name w:val="caption"/>
    <w:basedOn w:val="Standard"/>
    <w:next w:val="Standard"/>
    <w:qFormat/>
    <w:rsid w:val="0093136C"/>
    <w:pPr>
      <w:spacing w:before="120" w:after="120"/>
    </w:pPr>
    <w:rPr>
      <w:b/>
      <w:bCs/>
      <w:sz w:val="20"/>
      <w:szCs w:val="20"/>
    </w:rPr>
  </w:style>
  <w:style w:type="paragraph" w:styleId="Kopfzeile">
    <w:name w:val="header"/>
    <w:basedOn w:val="Standard"/>
    <w:rsid w:val="00D80C3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0C3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0A1F"/>
  </w:style>
  <w:style w:type="paragraph" w:customStyle="1" w:styleId="StandardWeb2">
    <w:name w:val="Standard (Web)2"/>
    <w:basedOn w:val="Standard"/>
    <w:rsid w:val="008F1C00"/>
    <w:rPr>
      <w:color w:val="000000"/>
      <w:sz w:val="26"/>
      <w:szCs w:val="26"/>
    </w:rPr>
  </w:style>
  <w:style w:type="paragraph" w:styleId="Dokumentstruktur">
    <w:name w:val="Document Map"/>
    <w:basedOn w:val="Standard"/>
    <w:semiHidden/>
    <w:rsid w:val="001B36CA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EF7037"/>
    <w:pPr>
      <w:autoSpaceDE w:val="0"/>
      <w:autoSpaceDN w:val="0"/>
      <w:adjustRightInd w:val="0"/>
    </w:pPr>
    <w:rPr>
      <w:rFonts w:ascii="LHOGI B+ Univers" w:hAnsi="LHOGI B+ Univers" w:cs="LHOGI B+ Univers"/>
      <w:color w:val="000000"/>
      <w:sz w:val="24"/>
      <w:szCs w:val="24"/>
    </w:rPr>
  </w:style>
  <w:style w:type="paragraph" w:customStyle="1" w:styleId="Hauptberschrift">
    <w:name w:val="Hauptüberschrift"/>
    <w:basedOn w:val="Standard"/>
    <w:rsid w:val="00235ED6"/>
    <w:pPr>
      <w:spacing w:after="120" w:line="360" w:lineRule="auto"/>
    </w:pPr>
    <w:rPr>
      <w:rFonts w:ascii="Arial" w:hAnsi="Arial" w:cs="Arial"/>
      <w:b/>
      <w:sz w:val="36"/>
      <w:szCs w:val="36"/>
    </w:rPr>
  </w:style>
  <w:style w:type="paragraph" w:customStyle="1" w:styleId="Listenabsatz1">
    <w:name w:val="Listenabsatz1"/>
    <w:basedOn w:val="Standard"/>
    <w:rsid w:val="00E57B74"/>
    <w:pPr>
      <w:ind w:left="720"/>
      <w:contextualSpacing/>
    </w:pPr>
  </w:style>
  <w:style w:type="character" w:styleId="Zeilennummer">
    <w:name w:val="line number"/>
    <w:basedOn w:val="Absatz-Standardschriftart"/>
    <w:rsid w:val="00F37509"/>
  </w:style>
  <w:style w:type="paragraph" w:styleId="berarbeitung">
    <w:name w:val="Revision"/>
    <w:hidden/>
    <w:uiPriority w:val="99"/>
    <w:semiHidden/>
    <w:rsid w:val="005310D0"/>
    <w:rPr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4499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C3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3821">
          <w:marLeft w:val="0"/>
          <w:marRight w:val="0"/>
          <w:marTop w:val="0"/>
          <w:marBottom w:val="0"/>
          <w:divBdr>
            <w:top w:val="single" w:sz="2" w:space="0" w:color="000000"/>
            <w:left w:val="single" w:sz="6" w:space="0" w:color="98989B"/>
            <w:bottom w:val="single" w:sz="6" w:space="0" w:color="000000"/>
            <w:right w:val="single" w:sz="6" w:space="0" w:color="000000"/>
          </w:divBdr>
          <w:divsChild>
            <w:div w:id="194157212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6" w:space="0" w:color="98989B"/>
                <w:bottom w:val="single" w:sz="6" w:space="0" w:color="000000"/>
                <w:right w:val="single" w:sz="6" w:space="0" w:color="000000"/>
              </w:divBdr>
              <w:divsChild>
                <w:div w:id="144241309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6" w:space="0" w:color="98989B"/>
                    <w:bottom w:val="single" w:sz="6" w:space="0" w:color="000000"/>
                    <w:right w:val="single" w:sz="6" w:space="0" w:color="000000"/>
                  </w:divBdr>
                  <w:divsChild>
                    <w:div w:id="7404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671610"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er.gondek@index-werke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6CFF5-8138-41BC-8392-C3F82713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5807</Characters>
  <Application>Microsoft Office Word</Application>
  <DocSecurity>4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INDEX G160</vt:lpstr>
    </vt:vector>
  </TitlesOfParts>
  <Company>INDEX-Werke GmbH &amp; Co. KG</Company>
  <LinksUpToDate>false</LinksUpToDate>
  <CharactersWithSpaces>6715</CharactersWithSpaces>
  <SharedDoc>false</SharedDoc>
  <HLinks>
    <vt:vector size="6" baseType="variant">
      <vt:variant>
        <vt:i4>3473413</vt:i4>
      </vt:variant>
      <vt:variant>
        <vt:i4>0</vt:i4>
      </vt:variant>
      <vt:variant>
        <vt:i4>0</vt:i4>
      </vt:variant>
      <vt:variant>
        <vt:i4>5</vt:i4>
      </vt:variant>
      <vt:variant>
        <vt:lpwstr>mailto:michael.czudaj@index-werke.de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INDEX G160</dc:title>
  <dc:subject/>
  <dc:creator>INDEX-Werke GmbH &amp; Co. KG</dc:creator>
  <cp:keywords/>
  <dc:description/>
  <cp:lastModifiedBy>Gondek, Rainer</cp:lastModifiedBy>
  <cp:revision>2</cp:revision>
  <cp:lastPrinted>2026-01-21T06:59:00Z</cp:lastPrinted>
  <dcterms:created xsi:type="dcterms:W3CDTF">2026-08-25T08:26:00Z</dcterms:created>
  <dcterms:modified xsi:type="dcterms:W3CDTF">2026-08-25T08:26:00Z</dcterms:modified>
</cp:coreProperties>
</file>