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CDF015" w14:textId="720F60C6" w:rsidR="006E6820" w:rsidRPr="002219C6" w:rsidRDefault="006E6820" w:rsidP="002C056C">
      <w:pPr>
        <w:pStyle w:val="berschrift32"/>
        <w:suppressLineNumbers/>
        <w:shd w:val="clear" w:color="auto" w:fill="FFFFFF"/>
        <w:tabs>
          <w:tab w:val="left" w:pos="7740"/>
        </w:tabs>
        <w:spacing w:line="360" w:lineRule="auto"/>
        <w:ind w:left="142" w:right="1692"/>
        <w:rPr>
          <w:rFonts w:ascii="Arial" w:hAnsi="Arial" w:cs="Arial"/>
          <w:sz w:val="20"/>
          <w:szCs w:val="20"/>
        </w:rPr>
      </w:pPr>
      <w:r>
        <w:rPr>
          <w:rFonts w:ascii="Arial" w:hAnsi="Arial"/>
          <w:sz w:val="20"/>
        </w:rPr>
        <w:t xml:space="preserve">Press release dated </w:t>
      </w:r>
      <w:proofErr w:type="gramStart"/>
      <w:r w:rsidR="00033EDD">
        <w:rPr>
          <w:rFonts w:ascii="Arial" w:hAnsi="Arial"/>
          <w:sz w:val="20"/>
        </w:rPr>
        <w:t>August</w:t>
      </w:r>
      <w:r w:rsidR="00D71217">
        <w:rPr>
          <w:rFonts w:ascii="Arial" w:hAnsi="Arial"/>
          <w:sz w:val="20"/>
        </w:rPr>
        <w:t>,</w:t>
      </w:r>
      <w:proofErr w:type="gramEnd"/>
      <w:r w:rsidR="00D71217">
        <w:rPr>
          <w:rFonts w:ascii="Arial" w:hAnsi="Arial"/>
          <w:sz w:val="20"/>
        </w:rPr>
        <w:t xml:space="preserve"> </w:t>
      </w:r>
      <w:r w:rsidR="00033EDD">
        <w:rPr>
          <w:rFonts w:ascii="Arial" w:hAnsi="Arial"/>
          <w:sz w:val="20"/>
        </w:rPr>
        <w:t>25</w:t>
      </w:r>
      <w:r w:rsidR="00D71217">
        <w:rPr>
          <w:rFonts w:ascii="Arial" w:hAnsi="Arial"/>
          <w:sz w:val="20"/>
        </w:rPr>
        <w:t>th</w:t>
      </w:r>
      <w:r>
        <w:rPr>
          <w:rFonts w:ascii="Arial" w:hAnsi="Arial"/>
          <w:sz w:val="20"/>
        </w:rPr>
        <w:t xml:space="preserve"> 2026</w:t>
      </w:r>
    </w:p>
    <w:p w14:paraId="1E80426D" w14:textId="77777777" w:rsidR="00D335FC" w:rsidRPr="00B2006E" w:rsidRDefault="00D335FC" w:rsidP="002C056C">
      <w:pPr>
        <w:pStyle w:val="berschrift32"/>
        <w:suppressLineNumbers/>
        <w:shd w:val="clear" w:color="auto" w:fill="FFFFFF"/>
        <w:tabs>
          <w:tab w:val="left" w:pos="7740"/>
        </w:tabs>
        <w:spacing w:line="360" w:lineRule="auto"/>
        <w:ind w:left="142" w:right="1692"/>
        <w:rPr>
          <w:rFonts w:ascii="Arial" w:hAnsi="Arial" w:cs="Arial"/>
          <w:sz w:val="20"/>
          <w:szCs w:val="20"/>
        </w:rPr>
      </w:pPr>
    </w:p>
    <w:p w14:paraId="613D9C6F" w14:textId="488B855A" w:rsidR="002A7B4A" w:rsidRDefault="005B2EAC" w:rsidP="003654C4">
      <w:pPr>
        <w:pStyle w:val="berschrift32"/>
        <w:suppressLineNumbers/>
        <w:shd w:val="clear" w:color="auto" w:fill="FFFFFF"/>
        <w:spacing w:line="360" w:lineRule="auto"/>
        <w:ind w:left="142"/>
        <w:rPr>
          <w:rFonts w:ascii="Arial" w:hAnsi="Arial" w:cs="Arial"/>
          <w:sz w:val="24"/>
          <w:szCs w:val="24"/>
        </w:rPr>
      </w:pPr>
      <w:r>
        <w:rPr>
          <w:rFonts w:ascii="Arial" w:hAnsi="Arial"/>
          <w:sz w:val="24"/>
        </w:rPr>
        <w:t>Versatile INDEX G160</w:t>
      </w:r>
      <w:r w:rsidR="00033EDD">
        <w:rPr>
          <w:rFonts w:ascii="Arial" w:hAnsi="Arial"/>
          <w:sz w:val="24"/>
        </w:rPr>
        <w:t xml:space="preserve"> and TRAUB TNX160</w:t>
      </w:r>
      <w:r>
        <w:rPr>
          <w:rFonts w:ascii="Arial" w:hAnsi="Arial"/>
          <w:sz w:val="24"/>
        </w:rPr>
        <w:t xml:space="preserve"> turn-mill center</w:t>
      </w:r>
      <w:r w:rsidR="00033EDD">
        <w:rPr>
          <w:rFonts w:ascii="Arial" w:hAnsi="Arial"/>
          <w:sz w:val="24"/>
        </w:rPr>
        <w:t>s</w:t>
      </w:r>
    </w:p>
    <w:p w14:paraId="16172C3F" w14:textId="14DAC130" w:rsidR="00D335FC" w:rsidRPr="00140201" w:rsidRDefault="005B2EAC" w:rsidP="002C056C">
      <w:pPr>
        <w:suppressLineNumbers/>
        <w:spacing w:after="240" w:line="264" w:lineRule="auto"/>
        <w:ind w:left="142" w:right="-284"/>
        <w:rPr>
          <w:rFonts w:ascii="Arial" w:hAnsi="Arial" w:cs="Arial"/>
          <w:b/>
          <w:spacing w:val="-2"/>
          <w:sz w:val="32"/>
          <w:szCs w:val="32"/>
        </w:rPr>
      </w:pPr>
      <w:r>
        <w:rPr>
          <w:rFonts w:ascii="Arial" w:hAnsi="Arial"/>
          <w:b/>
          <w:sz w:val="32"/>
        </w:rPr>
        <w:t>Ideal for small and complex components</w:t>
      </w:r>
    </w:p>
    <w:p w14:paraId="12093007" w14:textId="65171FC3" w:rsidR="003654C4" w:rsidRDefault="009E5184" w:rsidP="00A01FCF">
      <w:pPr>
        <w:spacing w:after="360" w:line="360" w:lineRule="auto"/>
        <w:ind w:left="142"/>
        <w:rPr>
          <w:rFonts w:ascii="Arial" w:eastAsiaTheme="minorHAnsi" w:hAnsi="Arial" w:cs="Arial"/>
          <w:b/>
          <w:sz w:val="20"/>
          <w:szCs w:val="20"/>
        </w:rPr>
      </w:pPr>
      <w:r>
        <w:rPr>
          <w:rFonts w:ascii="Arial" w:hAnsi="Arial"/>
          <w:b/>
          <w:sz w:val="20"/>
        </w:rPr>
        <w:t xml:space="preserve">The G160 turn-mill center, presented for the first time at the Open House 2026, sees INDEX round out the lower end of its current G range. </w:t>
      </w:r>
      <w:r w:rsidR="00033EDD">
        <w:rPr>
          <w:rFonts w:ascii="Arial" w:hAnsi="Arial"/>
          <w:b/>
          <w:sz w:val="20"/>
        </w:rPr>
        <w:t xml:space="preserve">At </w:t>
      </w:r>
      <w:proofErr w:type="gramStart"/>
      <w:r w:rsidR="00033EDD">
        <w:rPr>
          <w:rFonts w:ascii="Arial" w:hAnsi="Arial"/>
          <w:b/>
          <w:sz w:val="20"/>
        </w:rPr>
        <w:t>the AMB</w:t>
      </w:r>
      <w:proofErr w:type="gramEnd"/>
      <w:r w:rsidR="00033EDD">
        <w:rPr>
          <w:rFonts w:ascii="Arial" w:hAnsi="Arial"/>
          <w:b/>
          <w:sz w:val="20"/>
        </w:rPr>
        <w:t xml:space="preserve"> 2026 INDEX also presents the TRAUB variant TNX160. </w:t>
      </w:r>
      <w:r>
        <w:rPr>
          <w:rFonts w:ascii="Arial" w:hAnsi="Arial"/>
          <w:b/>
          <w:sz w:val="20"/>
        </w:rPr>
        <w:t>Conceptually, the machine</w:t>
      </w:r>
      <w:r w:rsidR="00033EDD">
        <w:rPr>
          <w:rFonts w:ascii="Arial" w:hAnsi="Arial"/>
          <w:b/>
          <w:sz w:val="20"/>
        </w:rPr>
        <w:t>s</w:t>
      </w:r>
      <w:r>
        <w:rPr>
          <w:rFonts w:ascii="Arial" w:hAnsi="Arial"/>
          <w:b/>
          <w:sz w:val="20"/>
        </w:rPr>
        <w:t xml:space="preserve"> </w:t>
      </w:r>
      <w:r w:rsidR="00033EDD">
        <w:rPr>
          <w:rFonts w:ascii="Arial" w:hAnsi="Arial"/>
          <w:b/>
          <w:sz w:val="20"/>
        </w:rPr>
        <w:t>are</w:t>
      </w:r>
      <w:r>
        <w:rPr>
          <w:rFonts w:ascii="Arial" w:hAnsi="Arial"/>
          <w:b/>
          <w:sz w:val="20"/>
        </w:rPr>
        <w:t xml:space="preserve"> based on the previous G200.2 and </w:t>
      </w:r>
      <w:proofErr w:type="gramStart"/>
      <w:r>
        <w:rPr>
          <w:rFonts w:ascii="Arial" w:hAnsi="Arial"/>
          <w:b/>
          <w:sz w:val="20"/>
        </w:rPr>
        <w:t>offers</w:t>
      </w:r>
      <w:proofErr w:type="gramEnd"/>
      <w:r>
        <w:rPr>
          <w:rFonts w:ascii="Arial" w:hAnsi="Arial"/>
          <w:b/>
          <w:sz w:val="20"/>
        </w:rPr>
        <w:t xml:space="preserve"> a wide range of options in terms of equipment.</w:t>
      </w:r>
    </w:p>
    <w:p w14:paraId="65F5DDE2" w14:textId="2BB63ACB" w:rsidR="00EC1A51" w:rsidRDefault="009E5184" w:rsidP="00EC1A51">
      <w:pPr>
        <w:spacing w:after="200" w:line="360" w:lineRule="auto"/>
        <w:ind w:left="142"/>
        <w:rPr>
          <w:rFonts w:ascii="Arial" w:eastAsiaTheme="minorHAnsi" w:hAnsi="Arial" w:cs="Arial"/>
          <w:sz w:val="20"/>
          <w:szCs w:val="20"/>
        </w:rPr>
      </w:pPr>
      <w:r>
        <w:rPr>
          <w:rFonts w:ascii="Arial" w:hAnsi="Arial"/>
          <w:sz w:val="20"/>
        </w:rPr>
        <w:t>In recent years, INDEX has redesigned and re-engineered the turn-mill centers in the G-series and reorganized the model range. With the INDEX G160</w:t>
      </w:r>
      <w:r w:rsidR="00033EDD">
        <w:rPr>
          <w:rFonts w:ascii="Arial" w:hAnsi="Arial"/>
          <w:sz w:val="20"/>
        </w:rPr>
        <w:t xml:space="preserve"> and the TRAUB TNX160</w:t>
      </w:r>
      <w:r>
        <w:rPr>
          <w:rFonts w:ascii="Arial" w:hAnsi="Arial"/>
          <w:sz w:val="20"/>
        </w:rPr>
        <w:t>, the Esslingen-based machine manufacturer now rounds out the lower end of its turn-mill center range. Th</w:t>
      </w:r>
      <w:r w:rsidR="00033EDD">
        <w:rPr>
          <w:rFonts w:ascii="Arial" w:hAnsi="Arial"/>
          <w:sz w:val="20"/>
        </w:rPr>
        <w:t>ese</w:t>
      </w:r>
      <w:r>
        <w:rPr>
          <w:rFonts w:ascii="Arial" w:hAnsi="Arial"/>
          <w:sz w:val="20"/>
        </w:rPr>
        <w:t xml:space="preserve"> “small” model</w:t>
      </w:r>
      <w:r w:rsidR="00033EDD">
        <w:rPr>
          <w:rFonts w:ascii="Arial" w:hAnsi="Arial"/>
          <w:sz w:val="20"/>
        </w:rPr>
        <w:t>s</w:t>
      </w:r>
      <w:r>
        <w:rPr>
          <w:rFonts w:ascii="Arial" w:hAnsi="Arial"/>
          <w:sz w:val="20"/>
        </w:rPr>
        <w:t xml:space="preserve"> in the lineup </w:t>
      </w:r>
      <w:r w:rsidR="00033EDD">
        <w:rPr>
          <w:rFonts w:ascii="Arial" w:hAnsi="Arial"/>
          <w:sz w:val="20"/>
        </w:rPr>
        <w:t>are</w:t>
      </w:r>
      <w:r>
        <w:rPr>
          <w:rFonts w:ascii="Arial" w:hAnsi="Arial"/>
          <w:sz w:val="20"/>
        </w:rPr>
        <w:t xml:space="preserve"> conceptually based on the previous G200.</w:t>
      </w:r>
      <w:proofErr w:type="gramStart"/>
      <w:r>
        <w:rPr>
          <w:rFonts w:ascii="Arial" w:hAnsi="Arial"/>
          <w:sz w:val="20"/>
        </w:rPr>
        <w:t>2, but</w:t>
      </w:r>
      <w:proofErr w:type="gramEnd"/>
      <w:r>
        <w:rPr>
          <w:rFonts w:ascii="Arial" w:hAnsi="Arial"/>
          <w:sz w:val="20"/>
        </w:rPr>
        <w:t xml:space="preserve"> can demonstrate significant improvements in milling. A special feature is the large selection of options in terms of spindles, tool carriers, and peripherals, enabling each customer to configure a machine tailored to their needs and optimized for cost.</w:t>
      </w:r>
    </w:p>
    <w:p w14:paraId="03FE22CB" w14:textId="7F9FDA02" w:rsidR="009C097C" w:rsidRPr="009C097C" w:rsidRDefault="009C097C" w:rsidP="00EC1A51">
      <w:pPr>
        <w:spacing w:after="200" w:line="360" w:lineRule="auto"/>
        <w:ind w:left="142"/>
        <w:rPr>
          <w:rFonts w:ascii="Arial" w:eastAsiaTheme="minorHAnsi" w:hAnsi="Arial" w:cs="Arial"/>
          <w:b/>
          <w:bCs/>
          <w:sz w:val="20"/>
          <w:szCs w:val="20"/>
        </w:rPr>
      </w:pPr>
      <w:r>
        <w:rPr>
          <w:rFonts w:ascii="Arial" w:hAnsi="Arial"/>
          <w:b/>
          <w:sz w:val="20"/>
        </w:rPr>
        <w:t>Powerful main and counter spindles</w:t>
      </w:r>
    </w:p>
    <w:p w14:paraId="3CC67A3C" w14:textId="0D5CBEBC" w:rsidR="005C69B1" w:rsidRDefault="005C69B1" w:rsidP="00EC1A51">
      <w:pPr>
        <w:spacing w:after="200" w:line="360" w:lineRule="auto"/>
        <w:ind w:left="142"/>
        <w:rPr>
          <w:rFonts w:ascii="Arial" w:eastAsiaTheme="minorHAnsi" w:hAnsi="Arial" w:cs="Arial"/>
          <w:sz w:val="20"/>
          <w:szCs w:val="20"/>
        </w:rPr>
      </w:pPr>
      <w:r>
        <w:rPr>
          <w:rFonts w:ascii="Arial" w:hAnsi="Arial"/>
          <w:sz w:val="20"/>
        </w:rPr>
        <w:t>The new INDEX G160</w:t>
      </w:r>
      <w:r w:rsidR="00033EDD">
        <w:rPr>
          <w:rFonts w:ascii="Arial" w:hAnsi="Arial"/>
          <w:sz w:val="20"/>
        </w:rPr>
        <w:t xml:space="preserve"> and TRAUB TNX160</w:t>
      </w:r>
      <w:r>
        <w:rPr>
          <w:rFonts w:ascii="Arial" w:hAnsi="Arial"/>
          <w:sz w:val="20"/>
        </w:rPr>
        <w:t xml:space="preserve"> turn-mill center</w:t>
      </w:r>
      <w:r w:rsidR="00033EDD">
        <w:rPr>
          <w:rFonts w:ascii="Arial" w:hAnsi="Arial"/>
          <w:sz w:val="20"/>
        </w:rPr>
        <w:t>s</w:t>
      </w:r>
      <w:r>
        <w:rPr>
          <w:rFonts w:ascii="Arial" w:hAnsi="Arial"/>
          <w:sz w:val="20"/>
        </w:rPr>
        <w:t xml:space="preserve"> </w:t>
      </w:r>
      <w:r w:rsidR="00033EDD">
        <w:rPr>
          <w:rFonts w:ascii="Arial" w:hAnsi="Arial"/>
          <w:sz w:val="20"/>
        </w:rPr>
        <w:t>are</w:t>
      </w:r>
      <w:r>
        <w:rPr>
          <w:rFonts w:ascii="Arial" w:hAnsi="Arial"/>
          <w:sz w:val="20"/>
        </w:rPr>
        <w:t xml:space="preserve"> equipped with a direct-drive, and therefore highly dynamic, main spindle, available in two sizes with bar clearances of 42 mm and 65 mm. Based on the technical specifications (speed 7,000/6,000 rpm, torque 65/170 Nm), the 42 mm version is suitable for smaller, high-speed components, while the larger version is also suitable for inserts that can be clamped in chucks up to 175 mm in diameter. On </w:t>
      </w:r>
      <w:proofErr w:type="gramStart"/>
      <w:r w:rsidR="00033EDD">
        <w:rPr>
          <w:rFonts w:ascii="Arial" w:hAnsi="Arial"/>
          <w:sz w:val="20"/>
        </w:rPr>
        <w:t>both of the machines</w:t>
      </w:r>
      <w:proofErr w:type="gramEnd"/>
      <w:r>
        <w:rPr>
          <w:rFonts w:ascii="Arial" w:hAnsi="Arial"/>
          <w:sz w:val="20"/>
        </w:rPr>
        <w:t xml:space="preserve">, the counter spindle is identical in design to the main </w:t>
      </w:r>
      <w:proofErr w:type="gramStart"/>
      <w:r>
        <w:rPr>
          <w:rFonts w:ascii="Arial" w:hAnsi="Arial"/>
          <w:sz w:val="20"/>
        </w:rPr>
        <w:t>spindle, but</w:t>
      </w:r>
      <w:proofErr w:type="gramEnd"/>
      <w:r>
        <w:rPr>
          <w:rFonts w:ascii="Arial" w:hAnsi="Arial"/>
          <w:sz w:val="20"/>
        </w:rPr>
        <w:t xml:space="preserve"> features an additional Z axis.</w:t>
      </w:r>
    </w:p>
    <w:p w14:paraId="09B46E3F" w14:textId="088B5F07" w:rsidR="00207A5E" w:rsidRPr="00207A5E" w:rsidRDefault="00CB43A0" w:rsidP="009E5184">
      <w:pPr>
        <w:spacing w:after="200" w:line="360" w:lineRule="auto"/>
        <w:ind w:left="142"/>
        <w:rPr>
          <w:rFonts w:ascii="Arial" w:eastAsiaTheme="minorHAnsi" w:hAnsi="Arial" w:cs="Arial"/>
          <w:b/>
          <w:bCs/>
          <w:sz w:val="20"/>
          <w:szCs w:val="20"/>
        </w:rPr>
      </w:pPr>
      <w:r>
        <w:rPr>
          <w:rFonts w:ascii="Arial" w:hAnsi="Arial"/>
          <w:b/>
          <w:sz w:val="20"/>
        </w:rPr>
        <w:t>Extensive tooling and tool carriers</w:t>
      </w:r>
    </w:p>
    <w:p w14:paraId="7DC8EA24" w14:textId="19F635B1" w:rsidR="00B32BE0" w:rsidRDefault="009E5184" w:rsidP="009E5184">
      <w:pPr>
        <w:spacing w:after="200" w:line="360" w:lineRule="auto"/>
        <w:ind w:left="142"/>
        <w:rPr>
          <w:rFonts w:ascii="Arial" w:eastAsiaTheme="minorHAnsi" w:hAnsi="Arial" w:cs="Arial"/>
          <w:sz w:val="20"/>
          <w:szCs w:val="20"/>
        </w:rPr>
      </w:pPr>
      <w:r>
        <w:rPr>
          <w:rFonts w:ascii="Arial" w:hAnsi="Arial"/>
          <w:sz w:val="20"/>
        </w:rPr>
        <w:t xml:space="preserve">The </w:t>
      </w:r>
      <w:r w:rsidR="00033EDD">
        <w:rPr>
          <w:rFonts w:ascii="Arial" w:hAnsi="Arial"/>
          <w:sz w:val="20"/>
        </w:rPr>
        <w:t xml:space="preserve">turn-mill centers </w:t>
      </w:r>
      <w:r>
        <w:rPr>
          <w:rFonts w:ascii="Arial" w:hAnsi="Arial"/>
          <w:sz w:val="20"/>
        </w:rPr>
        <w:t xml:space="preserve">can be equipped with two lower tool carriers, which are fitted as standard with a Y axis and can operate on both the main spindle and the counter spindle. The lower turrets feature 15 stations with a VDI 25 interface, all driven at speeds of up to 7,200 rpm (7.5 kW and 18.5 Nm at 25% DC). An interesting detail: Only the tools currently engaged in machining are supplied with cooling lubricant, contributing to high energy efficiency. </w:t>
      </w:r>
    </w:p>
    <w:p w14:paraId="0674AE54" w14:textId="19FA02CC" w:rsidR="00CB43A0" w:rsidRDefault="00B32BE0" w:rsidP="009F50B0">
      <w:pPr>
        <w:spacing w:after="200" w:line="360" w:lineRule="auto"/>
        <w:ind w:left="142"/>
        <w:rPr>
          <w:rFonts w:ascii="Arial" w:eastAsiaTheme="minorHAnsi" w:hAnsi="Arial" w:cs="Arial"/>
          <w:sz w:val="20"/>
          <w:szCs w:val="20"/>
        </w:rPr>
      </w:pPr>
      <w:r>
        <w:rPr>
          <w:rFonts w:ascii="Arial" w:hAnsi="Arial"/>
          <w:sz w:val="20"/>
        </w:rPr>
        <w:t xml:space="preserve">For the upper tool carrier, customers have access to a high-performance motor milling spindle with a B axis. The very compact, direct-drive milling spindle with HSK-T40 </w:t>
      </w:r>
      <w:r>
        <w:rPr>
          <w:rFonts w:ascii="Arial" w:hAnsi="Arial"/>
          <w:sz w:val="20"/>
        </w:rPr>
        <w:lastRenderedPageBreak/>
        <w:t xml:space="preserve">interface is available in two versions matched to the main spindles—with 32,000 rpm (17 Nm) and 18,000 rpm (29 Nm). Both versions allow internal coolant delivery of up to 80 bar, offering advantages for deep-hole drilling and difficult-to-machine materials. </w:t>
      </w:r>
    </w:p>
    <w:p w14:paraId="3726F8AB" w14:textId="5FDFAF66" w:rsidR="009E5184" w:rsidRDefault="00CB43A0" w:rsidP="009F50B0">
      <w:pPr>
        <w:spacing w:after="200" w:line="360" w:lineRule="auto"/>
        <w:ind w:left="142"/>
        <w:rPr>
          <w:rFonts w:ascii="Arial" w:eastAsiaTheme="minorHAnsi" w:hAnsi="Arial" w:cs="Arial"/>
          <w:sz w:val="20"/>
          <w:szCs w:val="20"/>
        </w:rPr>
      </w:pPr>
      <w:r>
        <w:rPr>
          <w:rFonts w:ascii="Arial" w:hAnsi="Arial"/>
          <w:sz w:val="20"/>
        </w:rPr>
        <w:t>The spindle is supplied from a newly developed</w:t>
      </w:r>
      <w:r w:rsidR="00033EDD">
        <w:rPr>
          <w:rFonts w:ascii="Arial" w:hAnsi="Arial"/>
          <w:sz w:val="20"/>
        </w:rPr>
        <w:t xml:space="preserve"> tool magazine</w:t>
      </w:r>
      <w:r>
        <w:rPr>
          <w:rFonts w:ascii="Arial" w:hAnsi="Arial"/>
          <w:sz w:val="20"/>
        </w:rPr>
        <w:t>. This is a turret magazine with 60 or 90 tools. A double gripper automatically changes tools into the milling spindle.</w:t>
      </w:r>
    </w:p>
    <w:p w14:paraId="5F78965B" w14:textId="04D03489" w:rsidR="00BC3AE0" w:rsidRDefault="00810C19" w:rsidP="00DB7DF8">
      <w:pPr>
        <w:spacing w:after="200" w:line="360" w:lineRule="auto"/>
        <w:ind w:left="142"/>
        <w:rPr>
          <w:rFonts w:ascii="Arial" w:eastAsiaTheme="minorHAnsi" w:hAnsi="Arial" w:cs="Arial"/>
          <w:b/>
          <w:bCs/>
          <w:sz w:val="20"/>
          <w:szCs w:val="20"/>
        </w:rPr>
      </w:pPr>
      <w:r>
        <w:rPr>
          <w:rFonts w:ascii="Arial" w:hAnsi="Arial"/>
          <w:b/>
          <w:sz w:val="20"/>
        </w:rPr>
        <w:t>Extensive automation options</w:t>
      </w:r>
    </w:p>
    <w:p w14:paraId="682F6438" w14:textId="734C42EF" w:rsidR="009F50B0" w:rsidRDefault="00810C19" w:rsidP="00DB7DF8">
      <w:pPr>
        <w:spacing w:after="200" w:line="360" w:lineRule="auto"/>
        <w:ind w:left="142"/>
        <w:rPr>
          <w:rFonts w:ascii="Arial" w:eastAsiaTheme="minorHAnsi" w:hAnsi="Arial" w:cs="Arial"/>
          <w:sz w:val="20"/>
          <w:szCs w:val="20"/>
        </w:rPr>
      </w:pPr>
      <w:r>
        <w:rPr>
          <w:rFonts w:ascii="Arial" w:hAnsi="Arial"/>
          <w:sz w:val="20"/>
        </w:rPr>
        <w:t>The simplest form of automation is a bar loading magazine, for which the</w:t>
      </w:r>
      <w:r w:rsidR="00033EDD">
        <w:rPr>
          <w:rFonts w:ascii="Arial" w:hAnsi="Arial"/>
          <w:sz w:val="20"/>
        </w:rPr>
        <w:t xml:space="preserve"> machines</w:t>
      </w:r>
      <w:r>
        <w:rPr>
          <w:rFonts w:ascii="Arial" w:hAnsi="Arial"/>
          <w:sz w:val="20"/>
        </w:rPr>
        <w:t xml:space="preserve"> </w:t>
      </w:r>
      <w:proofErr w:type="gramStart"/>
      <w:r>
        <w:rPr>
          <w:rFonts w:ascii="Arial" w:hAnsi="Arial"/>
          <w:sz w:val="20"/>
        </w:rPr>
        <w:t>provides</w:t>
      </w:r>
      <w:proofErr w:type="gramEnd"/>
      <w:r>
        <w:rPr>
          <w:rFonts w:ascii="Arial" w:hAnsi="Arial"/>
          <w:sz w:val="20"/>
        </w:rPr>
        <w:t xml:space="preserve"> a UNIMAG 5 interface. This interface allows connection of the INDEX MBL 76 loader, available for 3 m or 4 m bars and offering excellent bar-guiding characteristics. In addition, the interface also supports third-party equipment. INDEX, for example, offers short bar loading magazines from Breuning.</w:t>
      </w:r>
    </w:p>
    <w:p w14:paraId="4B81D172" w14:textId="6F524CF3" w:rsidR="00B500F4" w:rsidRDefault="00442724" w:rsidP="00B500F4">
      <w:pPr>
        <w:spacing w:after="200" w:line="360" w:lineRule="auto"/>
        <w:ind w:left="142"/>
        <w:rPr>
          <w:rFonts w:ascii="Arial" w:hAnsi="Arial" w:cs="Arial"/>
          <w:bCs/>
          <w:sz w:val="20"/>
          <w:szCs w:val="20"/>
        </w:rPr>
      </w:pPr>
      <w:r>
        <w:rPr>
          <w:rFonts w:ascii="Arial" w:hAnsi="Arial"/>
          <w:sz w:val="20"/>
        </w:rPr>
        <w:t>For workpiece unloading, the classic solution is a linear unit that picks up the finished part and places it onto a conveyor belt. Significantly more options are provided by the integrated workpiece handling unit (WHU) developed by INDEX. It is equipped with three axes and can be used for loading and unloading as well as for remnant removal. High-end automation is available with the INDEX iXcenter, which supports fully automated operation with a pallet storage system. It is docked to the machine to then safely and flexibly load and unload blanks and/or finished parts. Downstream processes such as cleaning, measuring, and deburring can also be integrated in the robot cell.</w:t>
      </w:r>
    </w:p>
    <w:p w14:paraId="6647D650" w14:textId="38B9A63F" w:rsidR="00566436" w:rsidRDefault="00B500F4" w:rsidP="00566436">
      <w:pPr>
        <w:spacing w:after="200" w:line="360" w:lineRule="auto"/>
        <w:ind w:left="142"/>
        <w:rPr>
          <w:rFonts w:ascii="Arial" w:hAnsi="Arial" w:cs="Arial"/>
          <w:bCs/>
          <w:sz w:val="20"/>
          <w:szCs w:val="20"/>
        </w:rPr>
      </w:pPr>
      <w:r>
        <w:rPr>
          <w:rFonts w:ascii="Arial" w:hAnsi="Arial"/>
          <w:sz w:val="20"/>
        </w:rPr>
        <w:t xml:space="preserve">For automated machining, it is essential to inspect and measure tools inside the machine. For this purpose, INDEX offers various systems, ranging from tactile methods to laser solutions that detect geometric changes and cutting-edge wear on the tools in the motor milling spindle without contact. </w:t>
      </w:r>
    </w:p>
    <w:p w14:paraId="62F47945" w14:textId="268F5A22" w:rsidR="009F50B0" w:rsidRPr="009F50B0" w:rsidRDefault="009F50B0" w:rsidP="00F87C15">
      <w:pPr>
        <w:spacing w:after="200" w:line="360" w:lineRule="auto"/>
        <w:ind w:left="142"/>
        <w:rPr>
          <w:rFonts w:ascii="Arial" w:hAnsi="Arial" w:cs="Arial"/>
          <w:b/>
          <w:sz w:val="20"/>
          <w:szCs w:val="20"/>
        </w:rPr>
      </w:pPr>
      <w:r>
        <w:rPr>
          <w:rFonts w:ascii="Arial" w:hAnsi="Arial"/>
          <w:b/>
          <w:sz w:val="20"/>
        </w:rPr>
        <w:t>Additional peripheral options</w:t>
      </w:r>
    </w:p>
    <w:p w14:paraId="3C16A0F5" w14:textId="29B25A0B" w:rsidR="005C6D45" w:rsidRDefault="00CD1616" w:rsidP="00F87C15">
      <w:pPr>
        <w:spacing w:after="200" w:line="360" w:lineRule="auto"/>
        <w:ind w:left="142"/>
        <w:rPr>
          <w:rFonts w:ascii="Arial" w:hAnsi="Arial" w:cs="Arial"/>
          <w:bCs/>
          <w:sz w:val="20"/>
          <w:szCs w:val="20"/>
        </w:rPr>
      </w:pPr>
      <w:r>
        <w:rPr>
          <w:rFonts w:ascii="Arial" w:hAnsi="Arial"/>
          <w:sz w:val="20"/>
        </w:rPr>
        <w:t xml:space="preserve">INDEX also offers extensive options for peripheral equipment for the </w:t>
      </w:r>
      <w:r w:rsidR="00057444">
        <w:rPr>
          <w:rFonts w:ascii="Arial" w:hAnsi="Arial"/>
          <w:sz w:val="20"/>
        </w:rPr>
        <w:t>new machines</w:t>
      </w:r>
      <w:r>
        <w:rPr>
          <w:rFonts w:ascii="Arial" w:hAnsi="Arial"/>
          <w:sz w:val="20"/>
        </w:rPr>
        <w:t xml:space="preserve">. Several chip conveyors are available, including a KNOLL slat belt conveyor and a hinged-belt conveyor from Bürener. Both suppliers also provide various cooling lubricant solutions, which differ primarily in terms of filtration and high-pressure performance. </w:t>
      </w:r>
    </w:p>
    <w:p w14:paraId="6A9DF287" w14:textId="1AF6129C" w:rsidR="00CD1616" w:rsidRDefault="005C6D45" w:rsidP="00F87C15">
      <w:pPr>
        <w:spacing w:after="200" w:line="360" w:lineRule="auto"/>
        <w:ind w:left="142"/>
        <w:rPr>
          <w:rFonts w:ascii="Arial" w:hAnsi="Arial" w:cs="Arial"/>
          <w:bCs/>
          <w:sz w:val="20"/>
          <w:szCs w:val="20"/>
        </w:rPr>
      </w:pPr>
      <w:r>
        <w:rPr>
          <w:rFonts w:ascii="Arial" w:hAnsi="Arial"/>
          <w:sz w:val="20"/>
        </w:rPr>
        <w:t>Both emulsion and oil can be used as cooling lubricants. In addition, INDEX offers suitable mist extractors: a mechanical separator for emulsion and an electrostatic system for oil.</w:t>
      </w:r>
    </w:p>
    <w:p w14:paraId="27DB8AC2" w14:textId="1BF32542" w:rsidR="005C6D45" w:rsidRDefault="005C6D45" w:rsidP="005C6D45">
      <w:pPr>
        <w:spacing w:after="200" w:line="360" w:lineRule="auto"/>
        <w:ind w:left="142"/>
        <w:rPr>
          <w:rFonts w:ascii="Arial" w:hAnsi="Arial" w:cs="Arial"/>
          <w:bCs/>
          <w:sz w:val="20"/>
          <w:szCs w:val="20"/>
        </w:rPr>
      </w:pPr>
      <w:r>
        <w:rPr>
          <w:rFonts w:ascii="Arial" w:hAnsi="Arial"/>
          <w:sz w:val="20"/>
        </w:rPr>
        <w:lastRenderedPageBreak/>
        <w:t>The cooling concept of the INDEX G160</w:t>
      </w:r>
      <w:r w:rsidR="00057444">
        <w:rPr>
          <w:rFonts w:ascii="Arial" w:hAnsi="Arial"/>
          <w:sz w:val="20"/>
        </w:rPr>
        <w:t xml:space="preserve"> / TRAUB TNX160</w:t>
      </w:r>
      <w:r>
        <w:rPr>
          <w:rFonts w:ascii="Arial" w:hAnsi="Arial"/>
          <w:sz w:val="20"/>
        </w:rPr>
        <w:t xml:space="preserve"> includes two solutions: a </w:t>
      </w:r>
      <w:proofErr w:type="gramStart"/>
      <w:r>
        <w:rPr>
          <w:rFonts w:ascii="Arial" w:hAnsi="Arial"/>
          <w:sz w:val="20"/>
        </w:rPr>
        <w:t>14 kW</w:t>
      </w:r>
      <w:proofErr w:type="gramEnd"/>
      <w:r>
        <w:rPr>
          <w:rFonts w:ascii="Arial" w:hAnsi="Arial"/>
          <w:sz w:val="20"/>
        </w:rPr>
        <w:t xml:space="preserve"> cooler that controls only the temperature of the machine, and a </w:t>
      </w:r>
      <w:proofErr w:type="gramStart"/>
      <w:r>
        <w:rPr>
          <w:rFonts w:ascii="Arial" w:hAnsi="Arial"/>
          <w:sz w:val="20"/>
        </w:rPr>
        <w:t>20 kW</w:t>
      </w:r>
      <w:proofErr w:type="gramEnd"/>
      <w:r>
        <w:rPr>
          <w:rFonts w:ascii="Arial" w:hAnsi="Arial"/>
          <w:sz w:val="20"/>
        </w:rPr>
        <w:t xml:space="preserve"> cooling unit that additionally maintains the cooling lubricant at the desired temperature.</w:t>
      </w:r>
    </w:p>
    <w:p w14:paraId="5A146E6C" w14:textId="2E534FE6" w:rsidR="00C46CE0" w:rsidRDefault="00C46CE0" w:rsidP="00BC3AE0">
      <w:pPr>
        <w:spacing w:after="200" w:line="360" w:lineRule="auto"/>
        <w:ind w:left="142"/>
        <w:rPr>
          <w:rFonts w:ascii="Arial" w:hAnsi="Arial" w:cs="Arial"/>
          <w:bCs/>
          <w:sz w:val="20"/>
          <w:szCs w:val="20"/>
        </w:rPr>
      </w:pPr>
      <w:r>
        <w:rPr>
          <w:rFonts w:ascii="Arial" w:hAnsi="Arial"/>
          <w:sz w:val="20"/>
        </w:rPr>
        <w:t>Another key focus is the energy efficiency of the machine. Here, INDEX takes a pioneering role through many detailed measures. These include energy regeneration during braking, the use of frequency-controlled pumps, counterbalancing of the vertical axes, and more (see box for further details).</w:t>
      </w:r>
    </w:p>
    <w:p w14:paraId="74241E95" w14:textId="34CFBE9B" w:rsidR="00057444" w:rsidRDefault="00286357" w:rsidP="00BC3AE0">
      <w:pPr>
        <w:spacing w:after="200" w:line="360" w:lineRule="auto"/>
        <w:ind w:left="142"/>
        <w:rPr>
          <w:rFonts w:ascii="Arial" w:hAnsi="Arial"/>
          <w:sz w:val="20"/>
        </w:rPr>
      </w:pPr>
      <w:proofErr w:type="gramStart"/>
      <w:r>
        <w:rPr>
          <w:rFonts w:ascii="Arial" w:hAnsi="Arial"/>
          <w:sz w:val="20"/>
        </w:rPr>
        <w:t>Last but not least</w:t>
      </w:r>
      <w:proofErr w:type="gramEnd"/>
      <w:r w:rsidR="00057444">
        <w:rPr>
          <w:rFonts w:ascii="Arial" w:hAnsi="Arial"/>
          <w:sz w:val="20"/>
        </w:rPr>
        <w:t xml:space="preserve"> – and this is the biggest, or rather the only difference between the two new turn-mill centers -</w:t>
      </w:r>
      <w:r>
        <w:rPr>
          <w:rFonts w:ascii="Arial" w:hAnsi="Arial"/>
          <w:sz w:val="20"/>
        </w:rPr>
        <w:t xml:space="preserve"> the INDEX G160 is equipped with the latest Siemens control system, </w:t>
      </w:r>
      <w:proofErr w:type="spellStart"/>
      <w:r>
        <w:rPr>
          <w:rFonts w:ascii="Arial" w:hAnsi="Arial"/>
          <w:sz w:val="20"/>
        </w:rPr>
        <w:t>Sinumerik</w:t>
      </w:r>
      <w:proofErr w:type="spellEnd"/>
      <w:r>
        <w:rPr>
          <w:rFonts w:ascii="Arial" w:hAnsi="Arial"/>
          <w:sz w:val="20"/>
        </w:rPr>
        <w:t xml:space="preserve"> ONE</w:t>
      </w:r>
      <w:r w:rsidR="00057444">
        <w:rPr>
          <w:rFonts w:ascii="Arial" w:hAnsi="Arial"/>
          <w:sz w:val="20"/>
        </w:rPr>
        <w:t xml:space="preserve"> while the TRAUB relies on the proven Mitsubishi control system.</w:t>
      </w:r>
    </w:p>
    <w:p w14:paraId="694AA040" w14:textId="4CF0FA1A" w:rsidR="00256628" w:rsidRDefault="00256628" w:rsidP="00F87C15">
      <w:pPr>
        <w:spacing w:after="200" w:line="360" w:lineRule="auto"/>
        <w:ind w:left="142"/>
        <w:rPr>
          <w:rFonts w:ascii="Arial" w:hAnsi="Arial" w:cs="Arial"/>
          <w:bCs/>
          <w:sz w:val="20"/>
          <w:szCs w:val="20"/>
        </w:rPr>
      </w:pPr>
      <w:r>
        <w:rPr>
          <w:rFonts w:ascii="Arial" w:hAnsi="Arial"/>
          <w:sz w:val="20"/>
        </w:rPr>
        <w:t>BOX</w:t>
      </w:r>
    </w:p>
    <w:p w14:paraId="501B6EF8" w14:textId="1E0602D1" w:rsidR="00CD6CB0" w:rsidRPr="00CD6CB0" w:rsidRDefault="00B25869" w:rsidP="00256628">
      <w:pPr>
        <w:spacing w:after="200" w:line="360" w:lineRule="auto"/>
        <w:ind w:left="142"/>
        <w:rPr>
          <w:rFonts w:ascii="Arial" w:hAnsi="Arial" w:cs="Arial"/>
          <w:b/>
          <w:sz w:val="20"/>
          <w:szCs w:val="20"/>
        </w:rPr>
      </w:pPr>
      <w:r>
        <w:rPr>
          <w:rFonts w:ascii="Arial" w:hAnsi="Arial"/>
          <w:b/>
          <w:sz w:val="20"/>
        </w:rPr>
        <w:t>Key factors behind the high energy efficiency of INDEX machines</w:t>
      </w:r>
    </w:p>
    <w:p w14:paraId="6A0B752D" w14:textId="5AFC46D6" w:rsidR="00256628" w:rsidRPr="00B25869" w:rsidRDefault="00CD6CB0" w:rsidP="00B25869">
      <w:pPr>
        <w:pStyle w:val="Listenabsatz"/>
        <w:numPr>
          <w:ilvl w:val="0"/>
          <w:numId w:val="8"/>
        </w:numPr>
        <w:spacing w:after="200" w:line="360" w:lineRule="auto"/>
        <w:rPr>
          <w:rFonts w:ascii="Arial" w:hAnsi="Arial" w:cs="Arial"/>
          <w:bCs/>
          <w:sz w:val="20"/>
          <w:szCs w:val="20"/>
        </w:rPr>
      </w:pPr>
      <w:r>
        <w:rPr>
          <w:rFonts w:ascii="Arial" w:hAnsi="Arial"/>
          <w:sz w:val="20"/>
        </w:rPr>
        <w:t>High accelerations and rapid traverse rates reduce peripheral operating times (saving up to 50% of energy consumption)</w:t>
      </w:r>
    </w:p>
    <w:p w14:paraId="549B3309" w14:textId="3023E9D6" w:rsidR="00256628" w:rsidRPr="00B25869" w:rsidRDefault="00CD6CB0" w:rsidP="00B25869">
      <w:pPr>
        <w:pStyle w:val="Listenabsatz"/>
        <w:numPr>
          <w:ilvl w:val="0"/>
          <w:numId w:val="8"/>
        </w:numPr>
        <w:spacing w:after="200" w:line="360" w:lineRule="auto"/>
        <w:rPr>
          <w:rFonts w:ascii="Arial" w:hAnsi="Arial" w:cs="Arial"/>
          <w:bCs/>
          <w:sz w:val="20"/>
          <w:szCs w:val="20"/>
        </w:rPr>
      </w:pPr>
      <w:r>
        <w:rPr>
          <w:rFonts w:ascii="Arial" w:hAnsi="Arial"/>
          <w:sz w:val="20"/>
        </w:rPr>
        <w:t>Energy recovery during braking through mains feedback</w:t>
      </w:r>
    </w:p>
    <w:p w14:paraId="1D4A4F7F" w14:textId="79EB24E5" w:rsidR="00256628" w:rsidRPr="00B25869" w:rsidRDefault="00256628" w:rsidP="00B25869">
      <w:pPr>
        <w:pStyle w:val="Listenabsatz"/>
        <w:numPr>
          <w:ilvl w:val="0"/>
          <w:numId w:val="8"/>
        </w:numPr>
        <w:spacing w:after="200" w:line="360" w:lineRule="auto"/>
        <w:rPr>
          <w:rFonts w:ascii="Arial" w:hAnsi="Arial" w:cs="Arial"/>
          <w:bCs/>
          <w:sz w:val="20"/>
          <w:szCs w:val="20"/>
        </w:rPr>
      </w:pPr>
      <w:r>
        <w:rPr>
          <w:rFonts w:ascii="Arial" w:hAnsi="Arial"/>
          <w:sz w:val="20"/>
        </w:rPr>
        <w:t>Lower energy requirements due to intelligent material pairings and coatings with minimal friction</w:t>
      </w:r>
    </w:p>
    <w:p w14:paraId="1B7B551F" w14:textId="77777777" w:rsidR="00B25869" w:rsidRDefault="00256628" w:rsidP="00B25869">
      <w:pPr>
        <w:pStyle w:val="Listenabsatz"/>
        <w:numPr>
          <w:ilvl w:val="0"/>
          <w:numId w:val="8"/>
        </w:numPr>
        <w:spacing w:after="200" w:line="360" w:lineRule="auto"/>
        <w:rPr>
          <w:rFonts w:ascii="Arial" w:hAnsi="Arial" w:cs="Arial"/>
          <w:bCs/>
          <w:sz w:val="20"/>
          <w:szCs w:val="20"/>
        </w:rPr>
      </w:pPr>
      <w:r>
        <w:rPr>
          <w:rFonts w:ascii="Arial" w:hAnsi="Arial"/>
          <w:sz w:val="20"/>
        </w:rPr>
        <w:t>Energy savings achieved through frequency-controlled pumps</w:t>
      </w:r>
    </w:p>
    <w:p w14:paraId="6ED264F5" w14:textId="6B072B5A" w:rsidR="00256628" w:rsidRPr="00B25869" w:rsidRDefault="00256628" w:rsidP="00B25869">
      <w:pPr>
        <w:pStyle w:val="Listenabsatz"/>
        <w:numPr>
          <w:ilvl w:val="0"/>
          <w:numId w:val="8"/>
        </w:numPr>
        <w:spacing w:after="200" w:line="360" w:lineRule="auto"/>
        <w:rPr>
          <w:rFonts w:ascii="Arial" w:hAnsi="Arial" w:cs="Arial"/>
          <w:bCs/>
          <w:sz w:val="20"/>
          <w:szCs w:val="20"/>
        </w:rPr>
      </w:pPr>
      <w:r>
        <w:rPr>
          <w:rFonts w:ascii="Arial" w:hAnsi="Arial"/>
          <w:sz w:val="20"/>
        </w:rPr>
        <w:t>Reduced consumption through intelligent automatic shutdown of peripheral systems during machine idle time</w:t>
      </w:r>
    </w:p>
    <w:p w14:paraId="50AACC1F" w14:textId="4BED659E" w:rsidR="00CD6CB0" w:rsidRPr="00B25869" w:rsidRDefault="00CD6CB0" w:rsidP="00B25869">
      <w:pPr>
        <w:pStyle w:val="Listenabsatz"/>
        <w:numPr>
          <w:ilvl w:val="0"/>
          <w:numId w:val="8"/>
        </w:numPr>
        <w:spacing w:after="200" w:line="360" w:lineRule="auto"/>
        <w:rPr>
          <w:rFonts w:ascii="Arial" w:hAnsi="Arial" w:cs="Arial"/>
          <w:bCs/>
          <w:sz w:val="20"/>
          <w:szCs w:val="20"/>
        </w:rPr>
      </w:pPr>
      <w:r>
        <w:rPr>
          <w:rFonts w:ascii="Arial" w:hAnsi="Arial"/>
          <w:sz w:val="20"/>
        </w:rPr>
        <w:t>Spring-based counterbalancing in vertical feed axes reduces the energy demand of the servomotors</w:t>
      </w:r>
    </w:p>
    <w:p w14:paraId="1961E362" w14:textId="36C33671" w:rsidR="00256628" w:rsidRPr="00B25869" w:rsidRDefault="00CD6CB0" w:rsidP="00B25869">
      <w:pPr>
        <w:pStyle w:val="Listenabsatz"/>
        <w:numPr>
          <w:ilvl w:val="0"/>
          <w:numId w:val="8"/>
        </w:numPr>
        <w:spacing w:after="200" w:line="360" w:lineRule="auto"/>
        <w:rPr>
          <w:rFonts w:ascii="Arial" w:hAnsi="Arial" w:cs="Arial"/>
          <w:bCs/>
          <w:sz w:val="20"/>
          <w:szCs w:val="20"/>
        </w:rPr>
      </w:pPr>
      <w:r>
        <w:rPr>
          <w:rFonts w:ascii="Arial" w:hAnsi="Arial"/>
          <w:sz w:val="20"/>
        </w:rPr>
        <w:t>Heat recovery through the provision of a central cooling lubricant interface</w:t>
      </w:r>
    </w:p>
    <w:p w14:paraId="5233989A" w14:textId="77777777" w:rsidR="00FE778B" w:rsidRPr="00FE778B" w:rsidRDefault="00FE778B" w:rsidP="00F87C15">
      <w:pPr>
        <w:spacing w:after="200" w:line="360" w:lineRule="auto"/>
        <w:ind w:left="142"/>
        <w:rPr>
          <w:rFonts w:ascii="Arial" w:hAnsi="Arial" w:cs="Arial"/>
          <w:bCs/>
          <w:sz w:val="20"/>
          <w:szCs w:val="20"/>
        </w:rPr>
      </w:pPr>
    </w:p>
    <w:p w14:paraId="0FE3508E" w14:textId="1A588D5B" w:rsidR="00F32C8A" w:rsidRDefault="00F87C15" w:rsidP="00F87C15">
      <w:pPr>
        <w:spacing w:after="200" w:line="360" w:lineRule="auto"/>
        <w:ind w:left="142"/>
        <w:rPr>
          <w:rFonts w:ascii="Arial" w:hAnsi="Arial" w:cs="Arial"/>
          <w:sz w:val="20"/>
          <w:szCs w:val="20"/>
        </w:rPr>
      </w:pPr>
      <w:r>
        <w:rPr>
          <w:rFonts w:ascii="Arial" w:hAnsi="Arial"/>
          <w:b/>
          <w:sz w:val="20"/>
        </w:rPr>
        <w:t>Photos:</w:t>
      </w:r>
      <w:r>
        <w:rPr>
          <w:rFonts w:ascii="Arial" w:hAnsi="Arial"/>
          <w:sz w:val="20"/>
        </w:rPr>
        <w:t xml:space="preserve"> attached</w:t>
      </w:r>
    </w:p>
    <w:p w14:paraId="75E76137" w14:textId="77777777" w:rsidR="00F32C8A" w:rsidRDefault="00F32C8A" w:rsidP="002C056C">
      <w:pPr>
        <w:suppressLineNumbers/>
        <w:spacing w:line="336" w:lineRule="auto"/>
        <w:ind w:left="142" w:right="1843"/>
        <w:rPr>
          <w:rFonts w:ascii="Arial" w:hAnsi="Arial" w:cs="Arial"/>
          <w:sz w:val="20"/>
          <w:szCs w:val="20"/>
        </w:rPr>
      </w:pPr>
    </w:p>
    <w:p w14:paraId="3B274060" w14:textId="77777777" w:rsidR="00FE778B" w:rsidRDefault="00FE778B" w:rsidP="002C056C">
      <w:pPr>
        <w:suppressLineNumbers/>
        <w:spacing w:line="336" w:lineRule="auto"/>
        <w:ind w:left="142" w:right="1843"/>
        <w:rPr>
          <w:rFonts w:ascii="Arial" w:hAnsi="Arial" w:cs="Arial"/>
          <w:sz w:val="20"/>
          <w:szCs w:val="20"/>
        </w:rPr>
      </w:pPr>
    </w:p>
    <w:p w14:paraId="70D37C81" w14:textId="77777777" w:rsidR="00FE778B" w:rsidRPr="00D335FC" w:rsidRDefault="00FE778B" w:rsidP="002C056C">
      <w:pPr>
        <w:suppressLineNumbers/>
        <w:spacing w:line="336" w:lineRule="auto"/>
        <w:ind w:left="142" w:right="1843"/>
        <w:rPr>
          <w:rFonts w:ascii="Arial" w:hAnsi="Arial" w:cs="Arial"/>
          <w:sz w:val="20"/>
          <w:szCs w:val="20"/>
        </w:rPr>
      </w:pPr>
    </w:p>
    <w:p w14:paraId="488976C3" w14:textId="77777777" w:rsidR="00F32C8A" w:rsidRPr="009E5184" w:rsidRDefault="00F32C8A" w:rsidP="002C056C">
      <w:pPr>
        <w:suppressLineNumbers/>
        <w:spacing w:line="336" w:lineRule="auto"/>
        <w:ind w:left="142" w:right="1843"/>
        <w:rPr>
          <w:rFonts w:ascii="Arial" w:hAnsi="Arial" w:cs="Arial"/>
          <w:sz w:val="20"/>
          <w:szCs w:val="20"/>
        </w:rPr>
      </w:pPr>
      <w:r>
        <w:rPr>
          <w:rFonts w:ascii="Arial" w:hAnsi="Arial"/>
          <w:b/>
          <w:sz w:val="20"/>
        </w:rPr>
        <w:t>Contact:</w:t>
      </w:r>
      <w:r>
        <w:rPr>
          <w:rFonts w:ascii="Arial" w:hAnsi="Arial"/>
          <w:sz w:val="20"/>
        </w:rPr>
        <w:tab/>
        <w:t>INDEX-Werke GmbH &amp; Co. KG Hahn &amp; Tessky</w:t>
      </w:r>
    </w:p>
    <w:p w14:paraId="5C9DF360" w14:textId="77777777" w:rsidR="00F32C8A" w:rsidRPr="009E5184" w:rsidRDefault="00F32C8A" w:rsidP="002C056C">
      <w:pPr>
        <w:suppressLineNumbers/>
        <w:spacing w:line="336" w:lineRule="auto"/>
        <w:ind w:left="709" w:right="1843" w:firstLine="709"/>
        <w:rPr>
          <w:rFonts w:ascii="Arial" w:hAnsi="Arial" w:cs="Arial"/>
          <w:sz w:val="20"/>
          <w:szCs w:val="20"/>
        </w:rPr>
      </w:pPr>
      <w:r>
        <w:rPr>
          <w:rFonts w:ascii="Arial" w:hAnsi="Arial"/>
          <w:sz w:val="20"/>
        </w:rPr>
        <w:t>Rainer Gondek</w:t>
      </w:r>
    </w:p>
    <w:p w14:paraId="328E903A" w14:textId="77777777" w:rsidR="00F32C8A" w:rsidRPr="00B2006E" w:rsidRDefault="00F32C8A" w:rsidP="002C056C">
      <w:pPr>
        <w:suppressLineNumbers/>
        <w:spacing w:line="336" w:lineRule="auto"/>
        <w:ind w:left="709" w:right="1843" w:firstLine="709"/>
        <w:rPr>
          <w:rFonts w:ascii="Arial" w:hAnsi="Arial" w:cs="Arial"/>
          <w:sz w:val="20"/>
          <w:szCs w:val="20"/>
        </w:rPr>
      </w:pPr>
      <w:r>
        <w:rPr>
          <w:rFonts w:ascii="Arial" w:hAnsi="Arial"/>
          <w:sz w:val="20"/>
        </w:rPr>
        <w:t xml:space="preserve">Global Marketing Director </w:t>
      </w:r>
    </w:p>
    <w:p w14:paraId="223FDF8F" w14:textId="77777777" w:rsidR="00F32C8A" w:rsidRPr="00B2006E" w:rsidRDefault="00F32C8A" w:rsidP="002C056C">
      <w:pPr>
        <w:suppressLineNumbers/>
        <w:spacing w:line="336" w:lineRule="auto"/>
        <w:ind w:left="709" w:right="1843" w:firstLine="709"/>
        <w:rPr>
          <w:rFonts w:ascii="Arial" w:hAnsi="Arial" w:cs="Arial"/>
          <w:sz w:val="20"/>
          <w:szCs w:val="20"/>
        </w:rPr>
      </w:pPr>
      <w:r>
        <w:rPr>
          <w:rFonts w:ascii="Arial" w:hAnsi="Arial"/>
          <w:sz w:val="20"/>
        </w:rPr>
        <w:t>Phone: +49 (711) 3191-1286</w:t>
      </w:r>
    </w:p>
    <w:p w14:paraId="0770264D" w14:textId="5B03F8D5" w:rsidR="00F32C8A" w:rsidRPr="00BC4430" w:rsidRDefault="00F32C8A" w:rsidP="002C056C">
      <w:pPr>
        <w:suppressLineNumbers/>
        <w:spacing w:line="336" w:lineRule="auto"/>
        <w:ind w:left="709" w:right="1843" w:firstLine="709"/>
        <w:rPr>
          <w:rFonts w:ascii="Arial" w:hAnsi="Arial" w:cs="Arial"/>
          <w:sz w:val="20"/>
          <w:szCs w:val="20"/>
        </w:rPr>
      </w:pPr>
      <w:hyperlink r:id="rId8" w:history="1">
        <w:r>
          <w:rPr>
            <w:rStyle w:val="Hyperlink"/>
            <w:rFonts w:ascii="Arial" w:hAnsi="Arial"/>
            <w:sz w:val="20"/>
          </w:rPr>
          <w:t>rainer.gondek@index-werke.de</w:t>
        </w:r>
      </w:hyperlink>
      <w:r>
        <w:rPr>
          <w:rFonts w:ascii="Arial" w:hAnsi="Arial"/>
          <w:sz w:val="20"/>
        </w:rPr>
        <w:t xml:space="preserve"> </w:t>
      </w:r>
    </w:p>
    <w:p w14:paraId="0AF8F6BA" w14:textId="77777777" w:rsidR="001B241B" w:rsidRPr="00BC4430" w:rsidRDefault="001B241B" w:rsidP="002C056C">
      <w:pPr>
        <w:spacing w:after="200" w:line="360" w:lineRule="auto"/>
        <w:ind w:left="142"/>
        <w:rPr>
          <w:rFonts w:ascii="Arial" w:eastAsiaTheme="minorHAnsi" w:hAnsi="Arial" w:cs="Arial"/>
          <w:sz w:val="20"/>
          <w:szCs w:val="20"/>
          <w:lang w:val="en-IN" w:eastAsia="en-US"/>
        </w:rPr>
      </w:pPr>
    </w:p>
    <w:sectPr w:rsidR="001B241B" w:rsidRPr="00BC4430" w:rsidSect="00E84366">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1077" w:right="2267" w:bottom="1134" w:left="1701" w:header="709" w:footer="454" w:gutter="0"/>
      <w:lnNumType w:countBy="5" w:restart="continuou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D52D3" w14:textId="77777777" w:rsidR="00F47297" w:rsidRDefault="00F47297">
      <w:r>
        <w:separator/>
      </w:r>
    </w:p>
  </w:endnote>
  <w:endnote w:type="continuationSeparator" w:id="0">
    <w:p w14:paraId="48E8121A" w14:textId="77777777" w:rsidR="00F47297" w:rsidRDefault="00F47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LHOGI B+ Univers">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D8726" w14:textId="77777777" w:rsidR="00033EDD" w:rsidRDefault="00033ED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645AC" w14:textId="77777777" w:rsidR="00DD0B31" w:rsidRPr="002A0A1F" w:rsidRDefault="00DD0B31">
    <w:pPr>
      <w:pStyle w:val="Fuzeile"/>
      <w:rPr>
        <w:rFonts w:ascii="Arial" w:hAnsi="Arial" w:cs="Arial"/>
        <w:sz w:val="18"/>
        <w:szCs w:val="18"/>
      </w:rPr>
    </w:pPr>
    <w:r>
      <w:rPr>
        <w:rFonts w:ascii="Arial" w:hAnsi="Arial"/>
        <w:sz w:val="18"/>
      </w:rPr>
      <w:t xml:space="preserve">                                                               Page </w:t>
    </w:r>
    <w:r w:rsidRPr="002A0A1F">
      <w:rPr>
        <w:rStyle w:val="Seitenzahl"/>
        <w:rFonts w:ascii="Arial" w:hAnsi="Arial" w:cs="Arial"/>
        <w:sz w:val="18"/>
      </w:rPr>
      <w:fldChar w:fldCharType="begin"/>
    </w:r>
    <w:r w:rsidRPr="002A0A1F">
      <w:rPr>
        <w:rStyle w:val="Seitenzahl"/>
        <w:rFonts w:ascii="Arial" w:hAnsi="Arial" w:cs="Arial"/>
        <w:sz w:val="18"/>
      </w:rPr>
      <w:instrText xml:space="preserve"> PAGE </w:instrText>
    </w:r>
    <w:r w:rsidRPr="002A0A1F">
      <w:rPr>
        <w:rStyle w:val="Seitenzahl"/>
        <w:rFonts w:ascii="Arial" w:hAnsi="Arial" w:cs="Arial"/>
        <w:sz w:val="18"/>
      </w:rPr>
      <w:fldChar w:fldCharType="separate"/>
    </w:r>
    <w:r w:rsidR="00E7691A">
      <w:rPr>
        <w:rStyle w:val="Seitenzahl"/>
        <w:rFonts w:ascii="Arial" w:hAnsi="Arial" w:cs="Arial"/>
        <w:sz w:val="18"/>
      </w:rPr>
      <w:t>4</w:t>
    </w:r>
    <w:r w:rsidRPr="002A0A1F">
      <w:rPr>
        <w:rStyle w:val="Seitenzahl"/>
        <w:rFonts w:ascii="Arial" w:hAnsi="Arial" w:cs="Arial"/>
        <w:sz w:val="18"/>
      </w:rPr>
      <w:fldChar w:fldCharType="end"/>
    </w:r>
    <w:r>
      <w:rPr>
        <w:rStyle w:val="Seitenzahl"/>
        <w:rFonts w:ascii="Arial" w:hAnsi="Arial"/>
        <w:sz w:val="18"/>
      </w:rPr>
      <w:t xml:space="preserve"> of </w:t>
    </w:r>
    <w:r w:rsidRPr="002A0A1F">
      <w:rPr>
        <w:rStyle w:val="Seitenzahl"/>
        <w:rFonts w:ascii="Arial" w:hAnsi="Arial" w:cs="Arial"/>
        <w:sz w:val="18"/>
      </w:rPr>
      <w:fldChar w:fldCharType="begin"/>
    </w:r>
    <w:r w:rsidRPr="002A0A1F">
      <w:rPr>
        <w:rStyle w:val="Seitenzahl"/>
        <w:rFonts w:ascii="Arial" w:hAnsi="Arial" w:cs="Arial"/>
        <w:sz w:val="18"/>
      </w:rPr>
      <w:instrText xml:space="preserve"> NUMPAGES </w:instrText>
    </w:r>
    <w:r w:rsidRPr="002A0A1F">
      <w:rPr>
        <w:rStyle w:val="Seitenzahl"/>
        <w:rFonts w:ascii="Arial" w:hAnsi="Arial" w:cs="Arial"/>
        <w:sz w:val="18"/>
      </w:rPr>
      <w:fldChar w:fldCharType="separate"/>
    </w:r>
    <w:r w:rsidR="00E7691A">
      <w:rPr>
        <w:rStyle w:val="Seitenzahl"/>
        <w:rFonts w:ascii="Arial" w:hAnsi="Arial" w:cs="Arial"/>
        <w:sz w:val="18"/>
      </w:rPr>
      <w:t>4</w:t>
    </w:r>
    <w:r w:rsidRPr="002A0A1F">
      <w:rPr>
        <w:rStyle w:val="Seitenzahl"/>
        <w:rFonts w:ascii="Arial" w:hAnsi="Arial" w:cs="Arial"/>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9BD4D" w14:textId="77777777" w:rsidR="00033EDD" w:rsidRDefault="00033ED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50FC94" w14:textId="77777777" w:rsidR="00F47297" w:rsidRDefault="00F47297">
      <w:r>
        <w:separator/>
      </w:r>
    </w:p>
  </w:footnote>
  <w:footnote w:type="continuationSeparator" w:id="0">
    <w:p w14:paraId="2B27605C" w14:textId="77777777" w:rsidR="00F47297" w:rsidRDefault="00F472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D6019" w14:textId="77777777" w:rsidR="00033EDD" w:rsidRDefault="00033ED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A170B" w14:textId="77777777" w:rsidR="00DD0B31" w:rsidRPr="003D200C" w:rsidRDefault="00DD0B31" w:rsidP="00825AC7">
    <w:pPr>
      <w:pStyle w:val="Kopfzeile"/>
      <w:tabs>
        <w:tab w:val="clear" w:pos="9072"/>
        <w:tab w:val="right" w:pos="9360"/>
      </w:tabs>
      <w:ind w:left="2544" w:right="-1418" w:firstLine="4296"/>
    </w:pPr>
    <w:r>
      <w:tab/>
    </w:r>
    <w:r>
      <w:rPr>
        <w:noProof/>
      </w:rPr>
      <w:drawing>
        <wp:inline distT="0" distB="0" distL="0" distR="0" wp14:anchorId="0B1B747A" wp14:editId="37502F88">
          <wp:extent cx="904875" cy="200025"/>
          <wp:effectExtent l="0" t="0" r="9525" b="9525"/>
          <wp:docPr id="5" name="Bild 2" descr="INDEX-25mm-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NDEX-25mm-Blac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4875" cy="200025"/>
                  </a:xfrm>
                  <a:prstGeom prst="rect">
                    <a:avLst/>
                  </a:prstGeom>
                  <a:noFill/>
                  <a:ln>
                    <a:noFill/>
                  </a:ln>
                </pic:spPr>
              </pic:pic>
            </a:graphicData>
          </a:graphic>
        </wp:inline>
      </w:drawing>
    </w:r>
  </w:p>
  <w:p w14:paraId="61F2F7C1" w14:textId="77777777" w:rsidR="00DD0B31" w:rsidRDefault="00DD0B31" w:rsidP="008C66BE">
    <w:pPr>
      <w:pStyle w:val="Kopfzeile"/>
      <w:tabs>
        <w:tab w:val="clear" w:pos="4536"/>
        <w:tab w:val="clear" w:pos="9072"/>
      </w:tabs>
      <w:ind w:left="6840"/>
      <w:jc w:val="right"/>
      <w:rPr>
        <w:rFonts w:ascii="Arial" w:hAnsi="Arial" w:cs="Arial"/>
        <w:sz w:val="16"/>
      </w:rPr>
    </w:pPr>
  </w:p>
  <w:p w14:paraId="4117A392" w14:textId="4F55C954" w:rsidR="00DD0B31" w:rsidRPr="008178F5" w:rsidRDefault="00DD0B31" w:rsidP="00033EDD">
    <w:pPr>
      <w:pStyle w:val="Kopfzeile"/>
      <w:tabs>
        <w:tab w:val="clear" w:pos="4536"/>
        <w:tab w:val="clear" w:pos="9072"/>
      </w:tabs>
      <w:ind w:left="5670" w:right="-1418"/>
      <w:jc w:val="right"/>
      <w:rPr>
        <w:rFonts w:ascii="Arial" w:hAnsi="Arial" w:cs="Arial"/>
        <w:sz w:val="16"/>
      </w:rPr>
    </w:pPr>
    <w:r>
      <w:rPr>
        <w:rFonts w:ascii="Arial" w:hAnsi="Arial"/>
        <w:sz w:val="16"/>
      </w:rPr>
      <w:t xml:space="preserve">    INDEX G160</w:t>
    </w:r>
    <w:r w:rsidR="00033EDD">
      <w:rPr>
        <w:rFonts w:ascii="Arial" w:hAnsi="Arial"/>
        <w:sz w:val="16"/>
      </w:rPr>
      <w:t>/ TRAUB TNX160</w:t>
    </w:r>
    <w:r>
      <w:rPr>
        <w:rFonts w:ascii="Arial" w:hAnsi="Arial"/>
        <w:sz w:val="16"/>
      </w:rPr>
      <w:t xml:space="preserve"> turn-mill center</w:t>
    </w:r>
  </w:p>
  <w:p w14:paraId="42EAE690" w14:textId="77777777" w:rsidR="00DD0B31" w:rsidRPr="003D200C" w:rsidRDefault="00DD0B31" w:rsidP="00BB70B6">
    <w:pPr>
      <w:pStyle w:val="Kopfzeile"/>
      <w:tabs>
        <w:tab w:val="clear" w:pos="4536"/>
        <w:tab w:val="clear" w:pos="9072"/>
      </w:tabs>
      <w:ind w:left="6840" w:right="-1418"/>
      <w:jc w:val="right"/>
      <w:rPr>
        <w:rFonts w:ascii="Arial" w:hAnsi="Arial" w:cs="Arial"/>
        <w:sz w:val="16"/>
      </w:rPr>
    </w:pPr>
  </w:p>
  <w:p w14:paraId="489C09F0" w14:textId="77777777" w:rsidR="00DD0B31" w:rsidRPr="003D200C" w:rsidRDefault="00DD0B31" w:rsidP="00BB70B6">
    <w:pPr>
      <w:pStyle w:val="Kopfzeile"/>
      <w:tabs>
        <w:tab w:val="clear" w:pos="4536"/>
        <w:tab w:val="clear" w:pos="9072"/>
      </w:tabs>
      <w:ind w:left="6840" w:right="-1418"/>
      <w:jc w:val="right"/>
      <w:rPr>
        <w:rFonts w:ascii="Arial" w:hAnsi="Arial" w:cs="Arial"/>
        <w:sz w:val="16"/>
      </w:rPr>
    </w:pPr>
  </w:p>
  <w:p w14:paraId="25361E0C" w14:textId="77777777" w:rsidR="00DD0B31" w:rsidRPr="00AE64C2" w:rsidRDefault="00DD0B31" w:rsidP="00AE64C2">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0989D" w14:textId="77777777" w:rsidR="00033EDD" w:rsidRDefault="00033ED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A103B"/>
    <w:multiLevelType w:val="hybridMultilevel"/>
    <w:tmpl w:val="B61283F8"/>
    <w:lvl w:ilvl="0" w:tplc="358828D4">
      <w:numFmt w:val="bullet"/>
      <w:lvlText w:val="•"/>
      <w:lvlJc w:val="left"/>
      <w:pPr>
        <w:ind w:left="712" w:hanging="570"/>
      </w:pPr>
      <w:rPr>
        <w:rFonts w:ascii="Arial" w:eastAsia="Times New Roman" w:hAnsi="Arial" w:cs="Arial" w:hint="default"/>
      </w:rPr>
    </w:lvl>
    <w:lvl w:ilvl="1" w:tplc="04070003" w:tentative="1">
      <w:start w:val="1"/>
      <w:numFmt w:val="bullet"/>
      <w:lvlText w:val="o"/>
      <w:lvlJc w:val="left"/>
      <w:pPr>
        <w:ind w:left="1222" w:hanging="360"/>
      </w:pPr>
      <w:rPr>
        <w:rFonts w:ascii="Courier New" w:hAnsi="Courier New" w:cs="Courier New" w:hint="default"/>
      </w:rPr>
    </w:lvl>
    <w:lvl w:ilvl="2" w:tplc="04070005" w:tentative="1">
      <w:start w:val="1"/>
      <w:numFmt w:val="bullet"/>
      <w:lvlText w:val=""/>
      <w:lvlJc w:val="left"/>
      <w:pPr>
        <w:ind w:left="1942" w:hanging="360"/>
      </w:pPr>
      <w:rPr>
        <w:rFonts w:ascii="Wingdings" w:hAnsi="Wingdings" w:hint="default"/>
      </w:rPr>
    </w:lvl>
    <w:lvl w:ilvl="3" w:tplc="04070001" w:tentative="1">
      <w:start w:val="1"/>
      <w:numFmt w:val="bullet"/>
      <w:lvlText w:val=""/>
      <w:lvlJc w:val="left"/>
      <w:pPr>
        <w:ind w:left="2662" w:hanging="360"/>
      </w:pPr>
      <w:rPr>
        <w:rFonts w:ascii="Symbol" w:hAnsi="Symbol" w:hint="default"/>
      </w:rPr>
    </w:lvl>
    <w:lvl w:ilvl="4" w:tplc="04070003" w:tentative="1">
      <w:start w:val="1"/>
      <w:numFmt w:val="bullet"/>
      <w:lvlText w:val="o"/>
      <w:lvlJc w:val="left"/>
      <w:pPr>
        <w:ind w:left="3382" w:hanging="360"/>
      </w:pPr>
      <w:rPr>
        <w:rFonts w:ascii="Courier New" w:hAnsi="Courier New" w:cs="Courier New" w:hint="default"/>
      </w:rPr>
    </w:lvl>
    <w:lvl w:ilvl="5" w:tplc="04070005" w:tentative="1">
      <w:start w:val="1"/>
      <w:numFmt w:val="bullet"/>
      <w:lvlText w:val=""/>
      <w:lvlJc w:val="left"/>
      <w:pPr>
        <w:ind w:left="4102" w:hanging="360"/>
      </w:pPr>
      <w:rPr>
        <w:rFonts w:ascii="Wingdings" w:hAnsi="Wingdings" w:hint="default"/>
      </w:rPr>
    </w:lvl>
    <w:lvl w:ilvl="6" w:tplc="04070001" w:tentative="1">
      <w:start w:val="1"/>
      <w:numFmt w:val="bullet"/>
      <w:lvlText w:val=""/>
      <w:lvlJc w:val="left"/>
      <w:pPr>
        <w:ind w:left="4822" w:hanging="360"/>
      </w:pPr>
      <w:rPr>
        <w:rFonts w:ascii="Symbol" w:hAnsi="Symbol" w:hint="default"/>
      </w:rPr>
    </w:lvl>
    <w:lvl w:ilvl="7" w:tplc="04070003" w:tentative="1">
      <w:start w:val="1"/>
      <w:numFmt w:val="bullet"/>
      <w:lvlText w:val="o"/>
      <w:lvlJc w:val="left"/>
      <w:pPr>
        <w:ind w:left="5542" w:hanging="360"/>
      </w:pPr>
      <w:rPr>
        <w:rFonts w:ascii="Courier New" w:hAnsi="Courier New" w:cs="Courier New" w:hint="default"/>
      </w:rPr>
    </w:lvl>
    <w:lvl w:ilvl="8" w:tplc="04070005" w:tentative="1">
      <w:start w:val="1"/>
      <w:numFmt w:val="bullet"/>
      <w:lvlText w:val=""/>
      <w:lvlJc w:val="left"/>
      <w:pPr>
        <w:ind w:left="6262" w:hanging="360"/>
      </w:pPr>
      <w:rPr>
        <w:rFonts w:ascii="Wingdings" w:hAnsi="Wingdings" w:hint="default"/>
      </w:rPr>
    </w:lvl>
  </w:abstractNum>
  <w:abstractNum w:abstractNumId="1" w15:restartNumberingAfterBreak="0">
    <w:nsid w:val="09C749F9"/>
    <w:multiLevelType w:val="hybridMultilevel"/>
    <w:tmpl w:val="29144F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83A44EF"/>
    <w:multiLevelType w:val="hybridMultilevel"/>
    <w:tmpl w:val="7FE02896"/>
    <w:lvl w:ilvl="0" w:tplc="04070001">
      <w:start w:val="1"/>
      <w:numFmt w:val="bullet"/>
      <w:lvlText w:val=""/>
      <w:lvlJc w:val="left"/>
      <w:pPr>
        <w:ind w:left="862" w:hanging="360"/>
      </w:pPr>
      <w:rPr>
        <w:rFonts w:ascii="Symbol" w:hAnsi="Symbol" w:hint="default"/>
      </w:rPr>
    </w:lvl>
    <w:lvl w:ilvl="1" w:tplc="04070003" w:tentative="1">
      <w:start w:val="1"/>
      <w:numFmt w:val="bullet"/>
      <w:lvlText w:val="o"/>
      <w:lvlJc w:val="left"/>
      <w:pPr>
        <w:ind w:left="1582" w:hanging="360"/>
      </w:pPr>
      <w:rPr>
        <w:rFonts w:ascii="Courier New" w:hAnsi="Courier New" w:cs="Courier New" w:hint="default"/>
      </w:rPr>
    </w:lvl>
    <w:lvl w:ilvl="2" w:tplc="04070005" w:tentative="1">
      <w:start w:val="1"/>
      <w:numFmt w:val="bullet"/>
      <w:lvlText w:val=""/>
      <w:lvlJc w:val="left"/>
      <w:pPr>
        <w:ind w:left="2302" w:hanging="360"/>
      </w:pPr>
      <w:rPr>
        <w:rFonts w:ascii="Wingdings" w:hAnsi="Wingdings" w:hint="default"/>
      </w:rPr>
    </w:lvl>
    <w:lvl w:ilvl="3" w:tplc="04070001" w:tentative="1">
      <w:start w:val="1"/>
      <w:numFmt w:val="bullet"/>
      <w:lvlText w:val=""/>
      <w:lvlJc w:val="left"/>
      <w:pPr>
        <w:ind w:left="3022" w:hanging="360"/>
      </w:pPr>
      <w:rPr>
        <w:rFonts w:ascii="Symbol" w:hAnsi="Symbol" w:hint="default"/>
      </w:rPr>
    </w:lvl>
    <w:lvl w:ilvl="4" w:tplc="04070003" w:tentative="1">
      <w:start w:val="1"/>
      <w:numFmt w:val="bullet"/>
      <w:lvlText w:val="o"/>
      <w:lvlJc w:val="left"/>
      <w:pPr>
        <w:ind w:left="3742" w:hanging="360"/>
      </w:pPr>
      <w:rPr>
        <w:rFonts w:ascii="Courier New" w:hAnsi="Courier New" w:cs="Courier New" w:hint="default"/>
      </w:rPr>
    </w:lvl>
    <w:lvl w:ilvl="5" w:tplc="04070005" w:tentative="1">
      <w:start w:val="1"/>
      <w:numFmt w:val="bullet"/>
      <w:lvlText w:val=""/>
      <w:lvlJc w:val="left"/>
      <w:pPr>
        <w:ind w:left="4462" w:hanging="360"/>
      </w:pPr>
      <w:rPr>
        <w:rFonts w:ascii="Wingdings" w:hAnsi="Wingdings" w:hint="default"/>
      </w:rPr>
    </w:lvl>
    <w:lvl w:ilvl="6" w:tplc="04070001" w:tentative="1">
      <w:start w:val="1"/>
      <w:numFmt w:val="bullet"/>
      <w:lvlText w:val=""/>
      <w:lvlJc w:val="left"/>
      <w:pPr>
        <w:ind w:left="5182" w:hanging="360"/>
      </w:pPr>
      <w:rPr>
        <w:rFonts w:ascii="Symbol" w:hAnsi="Symbol" w:hint="default"/>
      </w:rPr>
    </w:lvl>
    <w:lvl w:ilvl="7" w:tplc="04070003" w:tentative="1">
      <w:start w:val="1"/>
      <w:numFmt w:val="bullet"/>
      <w:lvlText w:val="o"/>
      <w:lvlJc w:val="left"/>
      <w:pPr>
        <w:ind w:left="5902" w:hanging="360"/>
      </w:pPr>
      <w:rPr>
        <w:rFonts w:ascii="Courier New" w:hAnsi="Courier New" w:cs="Courier New" w:hint="default"/>
      </w:rPr>
    </w:lvl>
    <w:lvl w:ilvl="8" w:tplc="04070005" w:tentative="1">
      <w:start w:val="1"/>
      <w:numFmt w:val="bullet"/>
      <w:lvlText w:val=""/>
      <w:lvlJc w:val="left"/>
      <w:pPr>
        <w:ind w:left="6622" w:hanging="360"/>
      </w:pPr>
      <w:rPr>
        <w:rFonts w:ascii="Wingdings" w:hAnsi="Wingdings" w:hint="default"/>
      </w:rPr>
    </w:lvl>
  </w:abstractNum>
  <w:abstractNum w:abstractNumId="3" w15:restartNumberingAfterBreak="0">
    <w:nsid w:val="3A3F40EA"/>
    <w:multiLevelType w:val="multilevel"/>
    <w:tmpl w:val="0C0A258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58136DB"/>
    <w:multiLevelType w:val="hybridMultilevel"/>
    <w:tmpl w:val="8F2AEB0C"/>
    <w:lvl w:ilvl="0" w:tplc="0B62E82C">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B3A016B"/>
    <w:multiLevelType w:val="hybridMultilevel"/>
    <w:tmpl w:val="6DB061C4"/>
    <w:lvl w:ilvl="0" w:tplc="0CEABA8E">
      <w:numFmt w:val="bullet"/>
      <w:lvlText w:val="•"/>
      <w:lvlJc w:val="left"/>
      <w:pPr>
        <w:ind w:left="712" w:hanging="570"/>
      </w:pPr>
      <w:rPr>
        <w:rFonts w:ascii="Arial" w:eastAsia="Times New Roman" w:hAnsi="Arial" w:cs="Arial" w:hint="default"/>
      </w:rPr>
    </w:lvl>
    <w:lvl w:ilvl="1" w:tplc="04070003" w:tentative="1">
      <w:start w:val="1"/>
      <w:numFmt w:val="bullet"/>
      <w:lvlText w:val="o"/>
      <w:lvlJc w:val="left"/>
      <w:pPr>
        <w:ind w:left="1222" w:hanging="360"/>
      </w:pPr>
      <w:rPr>
        <w:rFonts w:ascii="Courier New" w:hAnsi="Courier New" w:cs="Courier New" w:hint="default"/>
      </w:rPr>
    </w:lvl>
    <w:lvl w:ilvl="2" w:tplc="04070005" w:tentative="1">
      <w:start w:val="1"/>
      <w:numFmt w:val="bullet"/>
      <w:lvlText w:val=""/>
      <w:lvlJc w:val="left"/>
      <w:pPr>
        <w:ind w:left="1942" w:hanging="360"/>
      </w:pPr>
      <w:rPr>
        <w:rFonts w:ascii="Wingdings" w:hAnsi="Wingdings" w:hint="default"/>
      </w:rPr>
    </w:lvl>
    <w:lvl w:ilvl="3" w:tplc="04070001" w:tentative="1">
      <w:start w:val="1"/>
      <w:numFmt w:val="bullet"/>
      <w:lvlText w:val=""/>
      <w:lvlJc w:val="left"/>
      <w:pPr>
        <w:ind w:left="2662" w:hanging="360"/>
      </w:pPr>
      <w:rPr>
        <w:rFonts w:ascii="Symbol" w:hAnsi="Symbol" w:hint="default"/>
      </w:rPr>
    </w:lvl>
    <w:lvl w:ilvl="4" w:tplc="04070003" w:tentative="1">
      <w:start w:val="1"/>
      <w:numFmt w:val="bullet"/>
      <w:lvlText w:val="o"/>
      <w:lvlJc w:val="left"/>
      <w:pPr>
        <w:ind w:left="3382" w:hanging="360"/>
      </w:pPr>
      <w:rPr>
        <w:rFonts w:ascii="Courier New" w:hAnsi="Courier New" w:cs="Courier New" w:hint="default"/>
      </w:rPr>
    </w:lvl>
    <w:lvl w:ilvl="5" w:tplc="04070005" w:tentative="1">
      <w:start w:val="1"/>
      <w:numFmt w:val="bullet"/>
      <w:lvlText w:val=""/>
      <w:lvlJc w:val="left"/>
      <w:pPr>
        <w:ind w:left="4102" w:hanging="360"/>
      </w:pPr>
      <w:rPr>
        <w:rFonts w:ascii="Wingdings" w:hAnsi="Wingdings" w:hint="default"/>
      </w:rPr>
    </w:lvl>
    <w:lvl w:ilvl="6" w:tplc="04070001" w:tentative="1">
      <w:start w:val="1"/>
      <w:numFmt w:val="bullet"/>
      <w:lvlText w:val=""/>
      <w:lvlJc w:val="left"/>
      <w:pPr>
        <w:ind w:left="4822" w:hanging="360"/>
      </w:pPr>
      <w:rPr>
        <w:rFonts w:ascii="Symbol" w:hAnsi="Symbol" w:hint="default"/>
      </w:rPr>
    </w:lvl>
    <w:lvl w:ilvl="7" w:tplc="04070003" w:tentative="1">
      <w:start w:val="1"/>
      <w:numFmt w:val="bullet"/>
      <w:lvlText w:val="o"/>
      <w:lvlJc w:val="left"/>
      <w:pPr>
        <w:ind w:left="5542" w:hanging="360"/>
      </w:pPr>
      <w:rPr>
        <w:rFonts w:ascii="Courier New" w:hAnsi="Courier New" w:cs="Courier New" w:hint="default"/>
      </w:rPr>
    </w:lvl>
    <w:lvl w:ilvl="8" w:tplc="04070005" w:tentative="1">
      <w:start w:val="1"/>
      <w:numFmt w:val="bullet"/>
      <w:lvlText w:val=""/>
      <w:lvlJc w:val="left"/>
      <w:pPr>
        <w:ind w:left="6262" w:hanging="360"/>
      </w:pPr>
      <w:rPr>
        <w:rFonts w:ascii="Wingdings" w:hAnsi="Wingdings" w:hint="default"/>
      </w:rPr>
    </w:lvl>
  </w:abstractNum>
  <w:abstractNum w:abstractNumId="6" w15:restartNumberingAfterBreak="0">
    <w:nsid w:val="7ADE6714"/>
    <w:multiLevelType w:val="hybridMultilevel"/>
    <w:tmpl w:val="56B007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CD6711B"/>
    <w:multiLevelType w:val="hybridMultilevel"/>
    <w:tmpl w:val="E03C0D06"/>
    <w:lvl w:ilvl="0" w:tplc="04070001">
      <w:start w:val="1"/>
      <w:numFmt w:val="bullet"/>
      <w:lvlText w:val=""/>
      <w:lvlJc w:val="left"/>
      <w:pPr>
        <w:ind w:left="862" w:hanging="360"/>
      </w:pPr>
      <w:rPr>
        <w:rFonts w:ascii="Symbol" w:hAnsi="Symbol" w:hint="default"/>
      </w:rPr>
    </w:lvl>
    <w:lvl w:ilvl="1" w:tplc="04070003" w:tentative="1">
      <w:start w:val="1"/>
      <w:numFmt w:val="bullet"/>
      <w:lvlText w:val="o"/>
      <w:lvlJc w:val="left"/>
      <w:pPr>
        <w:ind w:left="1582" w:hanging="360"/>
      </w:pPr>
      <w:rPr>
        <w:rFonts w:ascii="Courier New" w:hAnsi="Courier New" w:cs="Courier New" w:hint="default"/>
      </w:rPr>
    </w:lvl>
    <w:lvl w:ilvl="2" w:tplc="04070005" w:tentative="1">
      <w:start w:val="1"/>
      <w:numFmt w:val="bullet"/>
      <w:lvlText w:val=""/>
      <w:lvlJc w:val="left"/>
      <w:pPr>
        <w:ind w:left="2302" w:hanging="360"/>
      </w:pPr>
      <w:rPr>
        <w:rFonts w:ascii="Wingdings" w:hAnsi="Wingdings" w:hint="default"/>
      </w:rPr>
    </w:lvl>
    <w:lvl w:ilvl="3" w:tplc="04070001" w:tentative="1">
      <w:start w:val="1"/>
      <w:numFmt w:val="bullet"/>
      <w:lvlText w:val=""/>
      <w:lvlJc w:val="left"/>
      <w:pPr>
        <w:ind w:left="3022" w:hanging="360"/>
      </w:pPr>
      <w:rPr>
        <w:rFonts w:ascii="Symbol" w:hAnsi="Symbol" w:hint="default"/>
      </w:rPr>
    </w:lvl>
    <w:lvl w:ilvl="4" w:tplc="04070003" w:tentative="1">
      <w:start w:val="1"/>
      <w:numFmt w:val="bullet"/>
      <w:lvlText w:val="o"/>
      <w:lvlJc w:val="left"/>
      <w:pPr>
        <w:ind w:left="3742" w:hanging="360"/>
      </w:pPr>
      <w:rPr>
        <w:rFonts w:ascii="Courier New" w:hAnsi="Courier New" w:cs="Courier New" w:hint="default"/>
      </w:rPr>
    </w:lvl>
    <w:lvl w:ilvl="5" w:tplc="04070005" w:tentative="1">
      <w:start w:val="1"/>
      <w:numFmt w:val="bullet"/>
      <w:lvlText w:val=""/>
      <w:lvlJc w:val="left"/>
      <w:pPr>
        <w:ind w:left="4462" w:hanging="360"/>
      </w:pPr>
      <w:rPr>
        <w:rFonts w:ascii="Wingdings" w:hAnsi="Wingdings" w:hint="default"/>
      </w:rPr>
    </w:lvl>
    <w:lvl w:ilvl="6" w:tplc="04070001" w:tentative="1">
      <w:start w:val="1"/>
      <w:numFmt w:val="bullet"/>
      <w:lvlText w:val=""/>
      <w:lvlJc w:val="left"/>
      <w:pPr>
        <w:ind w:left="5182" w:hanging="360"/>
      </w:pPr>
      <w:rPr>
        <w:rFonts w:ascii="Symbol" w:hAnsi="Symbol" w:hint="default"/>
      </w:rPr>
    </w:lvl>
    <w:lvl w:ilvl="7" w:tplc="04070003" w:tentative="1">
      <w:start w:val="1"/>
      <w:numFmt w:val="bullet"/>
      <w:lvlText w:val="o"/>
      <w:lvlJc w:val="left"/>
      <w:pPr>
        <w:ind w:left="5902" w:hanging="360"/>
      </w:pPr>
      <w:rPr>
        <w:rFonts w:ascii="Courier New" w:hAnsi="Courier New" w:cs="Courier New" w:hint="default"/>
      </w:rPr>
    </w:lvl>
    <w:lvl w:ilvl="8" w:tplc="04070005" w:tentative="1">
      <w:start w:val="1"/>
      <w:numFmt w:val="bullet"/>
      <w:lvlText w:val=""/>
      <w:lvlJc w:val="left"/>
      <w:pPr>
        <w:ind w:left="6622" w:hanging="360"/>
      </w:pPr>
      <w:rPr>
        <w:rFonts w:ascii="Wingdings" w:hAnsi="Wingdings" w:hint="default"/>
      </w:rPr>
    </w:lvl>
  </w:abstractNum>
  <w:num w:numId="1" w16cid:durableId="649090540">
    <w:abstractNumId w:val="4"/>
  </w:num>
  <w:num w:numId="2" w16cid:durableId="1477381990">
    <w:abstractNumId w:val="3"/>
  </w:num>
  <w:num w:numId="3" w16cid:durableId="586813899">
    <w:abstractNumId w:val="1"/>
  </w:num>
  <w:num w:numId="4" w16cid:durableId="733164495">
    <w:abstractNumId w:val="2"/>
  </w:num>
  <w:num w:numId="5" w16cid:durableId="2019500948">
    <w:abstractNumId w:val="0"/>
  </w:num>
  <w:num w:numId="6" w16cid:durableId="42103261">
    <w:abstractNumId w:val="6"/>
  </w:num>
  <w:num w:numId="7" w16cid:durableId="1625116954">
    <w:abstractNumId w:val="5"/>
  </w:num>
  <w:num w:numId="8" w16cid:durableId="4182769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3B72"/>
    <w:rsid w:val="000001ED"/>
    <w:rsid w:val="000004DE"/>
    <w:rsid w:val="00000C75"/>
    <w:rsid w:val="00000CF3"/>
    <w:rsid w:val="00003F66"/>
    <w:rsid w:val="00010B35"/>
    <w:rsid w:val="00011F31"/>
    <w:rsid w:val="00012CB6"/>
    <w:rsid w:val="0001322D"/>
    <w:rsid w:val="00013608"/>
    <w:rsid w:val="000145DC"/>
    <w:rsid w:val="00021660"/>
    <w:rsid w:val="000223C7"/>
    <w:rsid w:val="0002718C"/>
    <w:rsid w:val="00031013"/>
    <w:rsid w:val="000330EB"/>
    <w:rsid w:val="00033EDD"/>
    <w:rsid w:val="00033FAB"/>
    <w:rsid w:val="00037BA7"/>
    <w:rsid w:val="00037DD6"/>
    <w:rsid w:val="000417E2"/>
    <w:rsid w:val="00042DA3"/>
    <w:rsid w:val="00046FB5"/>
    <w:rsid w:val="00050D75"/>
    <w:rsid w:val="00057444"/>
    <w:rsid w:val="00062E38"/>
    <w:rsid w:val="00064902"/>
    <w:rsid w:val="00071092"/>
    <w:rsid w:val="000777C5"/>
    <w:rsid w:val="00080E86"/>
    <w:rsid w:val="0008729A"/>
    <w:rsid w:val="00092A02"/>
    <w:rsid w:val="000A09F9"/>
    <w:rsid w:val="000A0DDD"/>
    <w:rsid w:val="000A6B85"/>
    <w:rsid w:val="000A7F31"/>
    <w:rsid w:val="000B0B5B"/>
    <w:rsid w:val="000B1A1E"/>
    <w:rsid w:val="000C2336"/>
    <w:rsid w:val="000C6A32"/>
    <w:rsid w:val="000D0A3A"/>
    <w:rsid w:val="000D22C6"/>
    <w:rsid w:val="000D3A08"/>
    <w:rsid w:val="000D546A"/>
    <w:rsid w:val="000E6CC6"/>
    <w:rsid w:val="000E7045"/>
    <w:rsid w:val="000E7E0D"/>
    <w:rsid w:val="00107B6B"/>
    <w:rsid w:val="00107F92"/>
    <w:rsid w:val="0011189B"/>
    <w:rsid w:val="00112619"/>
    <w:rsid w:val="00120659"/>
    <w:rsid w:val="001222ED"/>
    <w:rsid w:val="00123D45"/>
    <w:rsid w:val="00130697"/>
    <w:rsid w:val="0013100D"/>
    <w:rsid w:val="00131AC4"/>
    <w:rsid w:val="0013320E"/>
    <w:rsid w:val="00134120"/>
    <w:rsid w:val="001365DF"/>
    <w:rsid w:val="00140201"/>
    <w:rsid w:val="00143AF0"/>
    <w:rsid w:val="00144799"/>
    <w:rsid w:val="00144D74"/>
    <w:rsid w:val="00145EF9"/>
    <w:rsid w:val="00146885"/>
    <w:rsid w:val="00147EF5"/>
    <w:rsid w:val="0015427D"/>
    <w:rsid w:val="0016091D"/>
    <w:rsid w:val="00166253"/>
    <w:rsid w:val="00173A79"/>
    <w:rsid w:val="00181FF2"/>
    <w:rsid w:val="001824A6"/>
    <w:rsid w:val="001862C6"/>
    <w:rsid w:val="001867F8"/>
    <w:rsid w:val="00186F99"/>
    <w:rsid w:val="00191224"/>
    <w:rsid w:val="001913D5"/>
    <w:rsid w:val="00192759"/>
    <w:rsid w:val="001936F2"/>
    <w:rsid w:val="00195AFF"/>
    <w:rsid w:val="001960C7"/>
    <w:rsid w:val="001A0FDA"/>
    <w:rsid w:val="001A1972"/>
    <w:rsid w:val="001A27F4"/>
    <w:rsid w:val="001A4133"/>
    <w:rsid w:val="001B1E13"/>
    <w:rsid w:val="001B241B"/>
    <w:rsid w:val="001B2FB1"/>
    <w:rsid w:val="001B36CA"/>
    <w:rsid w:val="001B39F6"/>
    <w:rsid w:val="001B7AF4"/>
    <w:rsid w:val="001D5C7B"/>
    <w:rsid w:val="001E05DD"/>
    <w:rsid w:val="001E1539"/>
    <w:rsid w:val="001F6AF7"/>
    <w:rsid w:val="00201559"/>
    <w:rsid w:val="00206324"/>
    <w:rsid w:val="00207497"/>
    <w:rsid w:val="00207885"/>
    <w:rsid w:val="00207A5E"/>
    <w:rsid w:val="00211AF2"/>
    <w:rsid w:val="00211EC5"/>
    <w:rsid w:val="00212595"/>
    <w:rsid w:val="0021387E"/>
    <w:rsid w:val="002208C9"/>
    <w:rsid w:val="002213FD"/>
    <w:rsid w:val="002219C6"/>
    <w:rsid w:val="00222D86"/>
    <w:rsid w:val="00224559"/>
    <w:rsid w:val="00225696"/>
    <w:rsid w:val="0023242C"/>
    <w:rsid w:val="0023479C"/>
    <w:rsid w:val="00235ED6"/>
    <w:rsid w:val="002361B1"/>
    <w:rsid w:val="002373E8"/>
    <w:rsid w:val="002508F8"/>
    <w:rsid w:val="00252394"/>
    <w:rsid w:val="00256000"/>
    <w:rsid w:val="00256628"/>
    <w:rsid w:val="00261CB4"/>
    <w:rsid w:val="00262014"/>
    <w:rsid w:val="00262D8D"/>
    <w:rsid w:val="0026448E"/>
    <w:rsid w:val="00267FDD"/>
    <w:rsid w:val="0027071B"/>
    <w:rsid w:val="00270ADC"/>
    <w:rsid w:val="00276D37"/>
    <w:rsid w:val="00284137"/>
    <w:rsid w:val="00284D73"/>
    <w:rsid w:val="00285D73"/>
    <w:rsid w:val="00286357"/>
    <w:rsid w:val="00294D30"/>
    <w:rsid w:val="00295D86"/>
    <w:rsid w:val="0029715D"/>
    <w:rsid w:val="002A0A1F"/>
    <w:rsid w:val="002A7B4A"/>
    <w:rsid w:val="002B28B3"/>
    <w:rsid w:val="002C056C"/>
    <w:rsid w:val="002C2782"/>
    <w:rsid w:val="002C52CB"/>
    <w:rsid w:val="002D038B"/>
    <w:rsid w:val="002D0FF4"/>
    <w:rsid w:val="002D2928"/>
    <w:rsid w:val="002D37B1"/>
    <w:rsid w:val="002D574E"/>
    <w:rsid w:val="002E4C83"/>
    <w:rsid w:val="002E52C6"/>
    <w:rsid w:val="002E572F"/>
    <w:rsid w:val="002E653C"/>
    <w:rsid w:val="002E74F7"/>
    <w:rsid w:val="002F1515"/>
    <w:rsid w:val="002F1927"/>
    <w:rsid w:val="002F40C9"/>
    <w:rsid w:val="002F51C3"/>
    <w:rsid w:val="002F51D6"/>
    <w:rsid w:val="002F7069"/>
    <w:rsid w:val="003025B4"/>
    <w:rsid w:val="0030559E"/>
    <w:rsid w:val="0030733E"/>
    <w:rsid w:val="003172F8"/>
    <w:rsid w:val="003240E3"/>
    <w:rsid w:val="00330C01"/>
    <w:rsid w:val="003338E2"/>
    <w:rsid w:val="00334401"/>
    <w:rsid w:val="00334751"/>
    <w:rsid w:val="00337BB5"/>
    <w:rsid w:val="0034237E"/>
    <w:rsid w:val="00350072"/>
    <w:rsid w:val="00353117"/>
    <w:rsid w:val="00360228"/>
    <w:rsid w:val="00360722"/>
    <w:rsid w:val="0036385F"/>
    <w:rsid w:val="003654C4"/>
    <w:rsid w:val="0036726E"/>
    <w:rsid w:val="00367F5D"/>
    <w:rsid w:val="0037311D"/>
    <w:rsid w:val="0037625A"/>
    <w:rsid w:val="00377560"/>
    <w:rsid w:val="0037788C"/>
    <w:rsid w:val="00377F47"/>
    <w:rsid w:val="00380258"/>
    <w:rsid w:val="00381EF9"/>
    <w:rsid w:val="003860F4"/>
    <w:rsid w:val="003924B0"/>
    <w:rsid w:val="003925A8"/>
    <w:rsid w:val="00393024"/>
    <w:rsid w:val="00394986"/>
    <w:rsid w:val="003957DE"/>
    <w:rsid w:val="00395A28"/>
    <w:rsid w:val="00397A76"/>
    <w:rsid w:val="003A7C1B"/>
    <w:rsid w:val="003A7E49"/>
    <w:rsid w:val="003B0528"/>
    <w:rsid w:val="003B0F98"/>
    <w:rsid w:val="003B5BA9"/>
    <w:rsid w:val="003C0206"/>
    <w:rsid w:val="003C0AF9"/>
    <w:rsid w:val="003C2277"/>
    <w:rsid w:val="003C6139"/>
    <w:rsid w:val="003D0EAD"/>
    <w:rsid w:val="003D1280"/>
    <w:rsid w:val="003D35B8"/>
    <w:rsid w:val="003D722D"/>
    <w:rsid w:val="003E37D9"/>
    <w:rsid w:val="003E4D2B"/>
    <w:rsid w:val="003E5584"/>
    <w:rsid w:val="003F3B91"/>
    <w:rsid w:val="003F60D2"/>
    <w:rsid w:val="00406AB0"/>
    <w:rsid w:val="0041150F"/>
    <w:rsid w:val="00414CF2"/>
    <w:rsid w:val="004152AF"/>
    <w:rsid w:val="00415A87"/>
    <w:rsid w:val="00415D03"/>
    <w:rsid w:val="00416E5A"/>
    <w:rsid w:val="004203A9"/>
    <w:rsid w:val="004204C8"/>
    <w:rsid w:val="00422AE3"/>
    <w:rsid w:val="004246F5"/>
    <w:rsid w:val="00424E75"/>
    <w:rsid w:val="00426195"/>
    <w:rsid w:val="00432DD2"/>
    <w:rsid w:val="00433009"/>
    <w:rsid w:val="00433266"/>
    <w:rsid w:val="00442724"/>
    <w:rsid w:val="00443DDF"/>
    <w:rsid w:val="00444993"/>
    <w:rsid w:val="00445029"/>
    <w:rsid w:val="00446750"/>
    <w:rsid w:val="00447215"/>
    <w:rsid w:val="004577EF"/>
    <w:rsid w:val="0046004B"/>
    <w:rsid w:val="00460631"/>
    <w:rsid w:val="00463188"/>
    <w:rsid w:val="00463DF5"/>
    <w:rsid w:val="00467F33"/>
    <w:rsid w:val="004720E4"/>
    <w:rsid w:val="0047346F"/>
    <w:rsid w:val="00474B61"/>
    <w:rsid w:val="00476642"/>
    <w:rsid w:val="004804E4"/>
    <w:rsid w:val="00480651"/>
    <w:rsid w:val="0048614F"/>
    <w:rsid w:val="00495221"/>
    <w:rsid w:val="0049679A"/>
    <w:rsid w:val="00496CE2"/>
    <w:rsid w:val="00497A31"/>
    <w:rsid w:val="004A094C"/>
    <w:rsid w:val="004A2FB6"/>
    <w:rsid w:val="004A729F"/>
    <w:rsid w:val="004B0F49"/>
    <w:rsid w:val="004B2855"/>
    <w:rsid w:val="004B4C43"/>
    <w:rsid w:val="004B5958"/>
    <w:rsid w:val="004B5999"/>
    <w:rsid w:val="004B6991"/>
    <w:rsid w:val="004C27C0"/>
    <w:rsid w:val="004C61DA"/>
    <w:rsid w:val="004D0E02"/>
    <w:rsid w:val="004D161C"/>
    <w:rsid w:val="004D5118"/>
    <w:rsid w:val="004D5409"/>
    <w:rsid w:val="004D75BA"/>
    <w:rsid w:val="004E33B1"/>
    <w:rsid w:val="004E3D1C"/>
    <w:rsid w:val="004E6BF4"/>
    <w:rsid w:val="004E756E"/>
    <w:rsid w:val="004F048C"/>
    <w:rsid w:val="004F1087"/>
    <w:rsid w:val="004F6632"/>
    <w:rsid w:val="004F741B"/>
    <w:rsid w:val="00500E3C"/>
    <w:rsid w:val="00501800"/>
    <w:rsid w:val="00503532"/>
    <w:rsid w:val="005042F8"/>
    <w:rsid w:val="00504380"/>
    <w:rsid w:val="00521067"/>
    <w:rsid w:val="00521CF6"/>
    <w:rsid w:val="0052567E"/>
    <w:rsid w:val="0053108F"/>
    <w:rsid w:val="005310D0"/>
    <w:rsid w:val="0053423A"/>
    <w:rsid w:val="00534760"/>
    <w:rsid w:val="00543713"/>
    <w:rsid w:val="00543C7E"/>
    <w:rsid w:val="00544BB2"/>
    <w:rsid w:val="0055166D"/>
    <w:rsid w:val="00556261"/>
    <w:rsid w:val="00557941"/>
    <w:rsid w:val="005609F5"/>
    <w:rsid w:val="00566436"/>
    <w:rsid w:val="00566701"/>
    <w:rsid w:val="00573260"/>
    <w:rsid w:val="00573C44"/>
    <w:rsid w:val="005753FB"/>
    <w:rsid w:val="0057633A"/>
    <w:rsid w:val="00577F45"/>
    <w:rsid w:val="00581ADC"/>
    <w:rsid w:val="00590BA3"/>
    <w:rsid w:val="005A0B98"/>
    <w:rsid w:val="005A0EF1"/>
    <w:rsid w:val="005A353A"/>
    <w:rsid w:val="005A48B3"/>
    <w:rsid w:val="005A549F"/>
    <w:rsid w:val="005B0DF3"/>
    <w:rsid w:val="005B2EAC"/>
    <w:rsid w:val="005C021E"/>
    <w:rsid w:val="005C69B1"/>
    <w:rsid w:val="005C6D45"/>
    <w:rsid w:val="005C6E5A"/>
    <w:rsid w:val="005C721F"/>
    <w:rsid w:val="005D014F"/>
    <w:rsid w:val="005D018C"/>
    <w:rsid w:val="005D5FB8"/>
    <w:rsid w:val="005E00FA"/>
    <w:rsid w:val="005E29EC"/>
    <w:rsid w:val="005F0B54"/>
    <w:rsid w:val="005F3E24"/>
    <w:rsid w:val="005F3E80"/>
    <w:rsid w:val="005F55FF"/>
    <w:rsid w:val="005F5611"/>
    <w:rsid w:val="005F7A16"/>
    <w:rsid w:val="006027CB"/>
    <w:rsid w:val="006160DC"/>
    <w:rsid w:val="0062379F"/>
    <w:rsid w:val="00623873"/>
    <w:rsid w:val="00627581"/>
    <w:rsid w:val="00630673"/>
    <w:rsid w:val="00637120"/>
    <w:rsid w:val="0065153A"/>
    <w:rsid w:val="00651BEB"/>
    <w:rsid w:val="00652C46"/>
    <w:rsid w:val="006534CD"/>
    <w:rsid w:val="00656679"/>
    <w:rsid w:val="00661DBD"/>
    <w:rsid w:val="0066447E"/>
    <w:rsid w:val="00665914"/>
    <w:rsid w:val="00672561"/>
    <w:rsid w:val="006727C1"/>
    <w:rsid w:val="00675059"/>
    <w:rsid w:val="00677566"/>
    <w:rsid w:val="006803F7"/>
    <w:rsid w:val="00680B31"/>
    <w:rsid w:val="0068145C"/>
    <w:rsid w:val="00683EF2"/>
    <w:rsid w:val="00684280"/>
    <w:rsid w:val="00695EC9"/>
    <w:rsid w:val="00697B66"/>
    <w:rsid w:val="006A05D0"/>
    <w:rsid w:val="006A5028"/>
    <w:rsid w:val="006A588B"/>
    <w:rsid w:val="006A5BF1"/>
    <w:rsid w:val="006A673A"/>
    <w:rsid w:val="006A6F2B"/>
    <w:rsid w:val="006B2793"/>
    <w:rsid w:val="006B4984"/>
    <w:rsid w:val="006C0FD9"/>
    <w:rsid w:val="006C3E18"/>
    <w:rsid w:val="006C44E2"/>
    <w:rsid w:val="006D1B3E"/>
    <w:rsid w:val="006E0AE1"/>
    <w:rsid w:val="006E1B3D"/>
    <w:rsid w:val="006E6820"/>
    <w:rsid w:val="006F02BF"/>
    <w:rsid w:val="006F25E1"/>
    <w:rsid w:val="006F2CD8"/>
    <w:rsid w:val="006F3F67"/>
    <w:rsid w:val="006F6209"/>
    <w:rsid w:val="006F7DCA"/>
    <w:rsid w:val="007048E3"/>
    <w:rsid w:val="00705EA2"/>
    <w:rsid w:val="00706415"/>
    <w:rsid w:val="0071341B"/>
    <w:rsid w:val="00713606"/>
    <w:rsid w:val="00717063"/>
    <w:rsid w:val="00717BFA"/>
    <w:rsid w:val="007250CD"/>
    <w:rsid w:val="00727E85"/>
    <w:rsid w:val="007308AA"/>
    <w:rsid w:val="00734673"/>
    <w:rsid w:val="00740E7F"/>
    <w:rsid w:val="00741A98"/>
    <w:rsid w:val="00743C92"/>
    <w:rsid w:val="00745E7E"/>
    <w:rsid w:val="00747230"/>
    <w:rsid w:val="00751511"/>
    <w:rsid w:val="00755387"/>
    <w:rsid w:val="0076014F"/>
    <w:rsid w:val="00760FEC"/>
    <w:rsid w:val="00761098"/>
    <w:rsid w:val="00761B1E"/>
    <w:rsid w:val="007645CD"/>
    <w:rsid w:val="00764F00"/>
    <w:rsid w:val="007652CE"/>
    <w:rsid w:val="007661DA"/>
    <w:rsid w:val="0077349B"/>
    <w:rsid w:val="00775FA5"/>
    <w:rsid w:val="00776180"/>
    <w:rsid w:val="00777D81"/>
    <w:rsid w:val="00786B4C"/>
    <w:rsid w:val="00790FA8"/>
    <w:rsid w:val="00793000"/>
    <w:rsid w:val="00795073"/>
    <w:rsid w:val="00796030"/>
    <w:rsid w:val="0079786D"/>
    <w:rsid w:val="007A7797"/>
    <w:rsid w:val="007B0855"/>
    <w:rsid w:val="007B1419"/>
    <w:rsid w:val="007B1DCF"/>
    <w:rsid w:val="007B1E16"/>
    <w:rsid w:val="007B2595"/>
    <w:rsid w:val="007B5F69"/>
    <w:rsid w:val="007B737D"/>
    <w:rsid w:val="007D169D"/>
    <w:rsid w:val="007E06B0"/>
    <w:rsid w:val="007E37E5"/>
    <w:rsid w:val="007F052C"/>
    <w:rsid w:val="00800F22"/>
    <w:rsid w:val="0080270B"/>
    <w:rsid w:val="008036F7"/>
    <w:rsid w:val="00807CE8"/>
    <w:rsid w:val="00810C19"/>
    <w:rsid w:val="00813110"/>
    <w:rsid w:val="008133B0"/>
    <w:rsid w:val="00815941"/>
    <w:rsid w:val="008177F0"/>
    <w:rsid w:val="008178F5"/>
    <w:rsid w:val="00825AC7"/>
    <w:rsid w:val="00830947"/>
    <w:rsid w:val="00847216"/>
    <w:rsid w:val="00847D66"/>
    <w:rsid w:val="00851066"/>
    <w:rsid w:val="00852ED2"/>
    <w:rsid w:val="00853E22"/>
    <w:rsid w:val="008563EB"/>
    <w:rsid w:val="0085749B"/>
    <w:rsid w:val="00857CFA"/>
    <w:rsid w:val="0086192A"/>
    <w:rsid w:val="0086295F"/>
    <w:rsid w:val="00863CDE"/>
    <w:rsid w:val="008656DC"/>
    <w:rsid w:val="0086727A"/>
    <w:rsid w:val="00867F14"/>
    <w:rsid w:val="0087282F"/>
    <w:rsid w:val="00877CBA"/>
    <w:rsid w:val="00884C96"/>
    <w:rsid w:val="00884F71"/>
    <w:rsid w:val="008858D7"/>
    <w:rsid w:val="0088677D"/>
    <w:rsid w:val="008A0474"/>
    <w:rsid w:val="008A3663"/>
    <w:rsid w:val="008A6D13"/>
    <w:rsid w:val="008B5385"/>
    <w:rsid w:val="008B58B8"/>
    <w:rsid w:val="008B765E"/>
    <w:rsid w:val="008C104C"/>
    <w:rsid w:val="008C3A38"/>
    <w:rsid w:val="008C4772"/>
    <w:rsid w:val="008C66BE"/>
    <w:rsid w:val="008D1A51"/>
    <w:rsid w:val="008D6EB5"/>
    <w:rsid w:val="008E1553"/>
    <w:rsid w:val="008E268C"/>
    <w:rsid w:val="008E480B"/>
    <w:rsid w:val="008F1C00"/>
    <w:rsid w:val="00901621"/>
    <w:rsid w:val="00901EBA"/>
    <w:rsid w:val="00904D06"/>
    <w:rsid w:val="00904F52"/>
    <w:rsid w:val="0091190A"/>
    <w:rsid w:val="00917766"/>
    <w:rsid w:val="00917F2E"/>
    <w:rsid w:val="009218D6"/>
    <w:rsid w:val="00926B09"/>
    <w:rsid w:val="0093136C"/>
    <w:rsid w:val="0094120E"/>
    <w:rsid w:val="00946D88"/>
    <w:rsid w:val="00955761"/>
    <w:rsid w:val="009661B7"/>
    <w:rsid w:val="00971814"/>
    <w:rsid w:val="00971F9F"/>
    <w:rsid w:val="00973EF0"/>
    <w:rsid w:val="00976D01"/>
    <w:rsid w:val="00980C02"/>
    <w:rsid w:val="00985312"/>
    <w:rsid w:val="00993817"/>
    <w:rsid w:val="00994501"/>
    <w:rsid w:val="009951D4"/>
    <w:rsid w:val="009A0DFB"/>
    <w:rsid w:val="009A107A"/>
    <w:rsid w:val="009A2376"/>
    <w:rsid w:val="009B59B8"/>
    <w:rsid w:val="009C097C"/>
    <w:rsid w:val="009C133D"/>
    <w:rsid w:val="009C1E01"/>
    <w:rsid w:val="009C44F2"/>
    <w:rsid w:val="009C62FE"/>
    <w:rsid w:val="009D0500"/>
    <w:rsid w:val="009D31CF"/>
    <w:rsid w:val="009D4610"/>
    <w:rsid w:val="009E1274"/>
    <w:rsid w:val="009E1C1C"/>
    <w:rsid w:val="009E4663"/>
    <w:rsid w:val="009E5184"/>
    <w:rsid w:val="009E6EA1"/>
    <w:rsid w:val="009E766F"/>
    <w:rsid w:val="009F0B3F"/>
    <w:rsid w:val="009F163D"/>
    <w:rsid w:val="009F28B1"/>
    <w:rsid w:val="009F3B72"/>
    <w:rsid w:val="009F446A"/>
    <w:rsid w:val="009F5052"/>
    <w:rsid w:val="009F50B0"/>
    <w:rsid w:val="009F7512"/>
    <w:rsid w:val="009F790F"/>
    <w:rsid w:val="009F7AF6"/>
    <w:rsid w:val="009F7F05"/>
    <w:rsid w:val="00A01FCF"/>
    <w:rsid w:val="00A135AE"/>
    <w:rsid w:val="00A2653D"/>
    <w:rsid w:val="00A269CE"/>
    <w:rsid w:val="00A32630"/>
    <w:rsid w:val="00A37BBA"/>
    <w:rsid w:val="00A504A0"/>
    <w:rsid w:val="00A50F9C"/>
    <w:rsid w:val="00A53DF8"/>
    <w:rsid w:val="00A662A5"/>
    <w:rsid w:val="00A70851"/>
    <w:rsid w:val="00A716C4"/>
    <w:rsid w:val="00A72BAE"/>
    <w:rsid w:val="00A73611"/>
    <w:rsid w:val="00A73987"/>
    <w:rsid w:val="00A740FB"/>
    <w:rsid w:val="00A769FD"/>
    <w:rsid w:val="00A7749A"/>
    <w:rsid w:val="00A81887"/>
    <w:rsid w:val="00A81CD2"/>
    <w:rsid w:val="00A83A93"/>
    <w:rsid w:val="00A83F0A"/>
    <w:rsid w:val="00A84A49"/>
    <w:rsid w:val="00A94162"/>
    <w:rsid w:val="00A95DB7"/>
    <w:rsid w:val="00A96079"/>
    <w:rsid w:val="00A96370"/>
    <w:rsid w:val="00AA49F6"/>
    <w:rsid w:val="00AA4DE4"/>
    <w:rsid w:val="00AB000E"/>
    <w:rsid w:val="00AB253A"/>
    <w:rsid w:val="00AB5101"/>
    <w:rsid w:val="00AC1A7A"/>
    <w:rsid w:val="00AC37E7"/>
    <w:rsid w:val="00AD1B3A"/>
    <w:rsid w:val="00AD5157"/>
    <w:rsid w:val="00AE1178"/>
    <w:rsid w:val="00AE220D"/>
    <w:rsid w:val="00AE64C2"/>
    <w:rsid w:val="00AF04B8"/>
    <w:rsid w:val="00AF05E8"/>
    <w:rsid w:val="00B05448"/>
    <w:rsid w:val="00B062A9"/>
    <w:rsid w:val="00B106E6"/>
    <w:rsid w:val="00B143BF"/>
    <w:rsid w:val="00B2006E"/>
    <w:rsid w:val="00B20539"/>
    <w:rsid w:val="00B25869"/>
    <w:rsid w:val="00B268DF"/>
    <w:rsid w:val="00B32197"/>
    <w:rsid w:val="00B32BE0"/>
    <w:rsid w:val="00B33C24"/>
    <w:rsid w:val="00B44177"/>
    <w:rsid w:val="00B44208"/>
    <w:rsid w:val="00B44AA4"/>
    <w:rsid w:val="00B45956"/>
    <w:rsid w:val="00B500F4"/>
    <w:rsid w:val="00B50378"/>
    <w:rsid w:val="00B51C4A"/>
    <w:rsid w:val="00B57514"/>
    <w:rsid w:val="00B6086D"/>
    <w:rsid w:val="00B60D19"/>
    <w:rsid w:val="00B611AA"/>
    <w:rsid w:val="00B6229B"/>
    <w:rsid w:val="00B7017D"/>
    <w:rsid w:val="00B71BC4"/>
    <w:rsid w:val="00B724D5"/>
    <w:rsid w:val="00B76920"/>
    <w:rsid w:val="00B77D05"/>
    <w:rsid w:val="00B820B3"/>
    <w:rsid w:val="00B8238B"/>
    <w:rsid w:val="00B841F2"/>
    <w:rsid w:val="00B87AC5"/>
    <w:rsid w:val="00B9037B"/>
    <w:rsid w:val="00B94FF5"/>
    <w:rsid w:val="00B96674"/>
    <w:rsid w:val="00BA4288"/>
    <w:rsid w:val="00BA4B6F"/>
    <w:rsid w:val="00BA57CA"/>
    <w:rsid w:val="00BA5C61"/>
    <w:rsid w:val="00BB3AEB"/>
    <w:rsid w:val="00BB6BC3"/>
    <w:rsid w:val="00BB70B6"/>
    <w:rsid w:val="00BC3AE0"/>
    <w:rsid w:val="00BC4430"/>
    <w:rsid w:val="00BC7772"/>
    <w:rsid w:val="00BD264F"/>
    <w:rsid w:val="00BD512C"/>
    <w:rsid w:val="00BE4EC9"/>
    <w:rsid w:val="00BE68C8"/>
    <w:rsid w:val="00BE7797"/>
    <w:rsid w:val="00BE79B9"/>
    <w:rsid w:val="00BF127F"/>
    <w:rsid w:val="00BF465A"/>
    <w:rsid w:val="00BF5362"/>
    <w:rsid w:val="00BF7959"/>
    <w:rsid w:val="00C01F56"/>
    <w:rsid w:val="00C0280E"/>
    <w:rsid w:val="00C0374E"/>
    <w:rsid w:val="00C06334"/>
    <w:rsid w:val="00C154E1"/>
    <w:rsid w:val="00C205C7"/>
    <w:rsid w:val="00C30808"/>
    <w:rsid w:val="00C35B6D"/>
    <w:rsid w:val="00C460E5"/>
    <w:rsid w:val="00C46CE0"/>
    <w:rsid w:val="00C52C2E"/>
    <w:rsid w:val="00C5688F"/>
    <w:rsid w:val="00C568C1"/>
    <w:rsid w:val="00C571F6"/>
    <w:rsid w:val="00C61F61"/>
    <w:rsid w:val="00C63FCB"/>
    <w:rsid w:val="00C70398"/>
    <w:rsid w:val="00C71D48"/>
    <w:rsid w:val="00C76642"/>
    <w:rsid w:val="00C804CE"/>
    <w:rsid w:val="00C80920"/>
    <w:rsid w:val="00C80D8C"/>
    <w:rsid w:val="00C80D9B"/>
    <w:rsid w:val="00C83872"/>
    <w:rsid w:val="00C86023"/>
    <w:rsid w:val="00C90F6D"/>
    <w:rsid w:val="00C91B10"/>
    <w:rsid w:val="00C921AF"/>
    <w:rsid w:val="00C9339F"/>
    <w:rsid w:val="00C96D56"/>
    <w:rsid w:val="00CA132B"/>
    <w:rsid w:val="00CA1540"/>
    <w:rsid w:val="00CA3275"/>
    <w:rsid w:val="00CA7E44"/>
    <w:rsid w:val="00CB3691"/>
    <w:rsid w:val="00CB4280"/>
    <w:rsid w:val="00CB43A0"/>
    <w:rsid w:val="00CB717F"/>
    <w:rsid w:val="00CC2163"/>
    <w:rsid w:val="00CC2E64"/>
    <w:rsid w:val="00CC3F7A"/>
    <w:rsid w:val="00CC7AA6"/>
    <w:rsid w:val="00CD0992"/>
    <w:rsid w:val="00CD1616"/>
    <w:rsid w:val="00CD59EA"/>
    <w:rsid w:val="00CD6CB0"/>
    <w:rsid w:val="00CD6D21"/>
    <w:rsid w:val="00CE0131"/>
    <w:rsid w:val="00CE0DA3"/>
    <w:rsid w:val="00CE3C6A"/>
    <w:rsid w:val="00CE4C4B"/>
    <w:rsid w:val="00CE5DA1"/>
    <w:rsid w:val="00CE6586"/>
    <w:rsid w:val="00CE66E9"/>
    <w:rsid w:val="00CF3E31"/>
    <w:rsid w:val="00D002BF"/>
    <w:rsid w:val="00D04BF0"/>
    <w:rsid w:val="00D14773"/>
    <w:rsid w:val="00D15798"/>
    <w:rsid w:val="00D16F4D"/>
    <w:rsid w:val="00D222A0"/>
    <w:rsid w:val="00D23ACD"/>
    <w:rsid w:val="00D25284"/>
    <w:rsid w:val="00D26A4B"/>
    <w:rsid w:val="00D2753C"/>
    <w:rsid w:val="00D335FC"/>
    <w:rsid w:val="00D407E1"/>
    <w:rsid w:val="00D50792"/>
    <w:rsid w:val="00D512FA"/>
    <w:rsid w:val="00D55953"/>
    <w:rsid w:val="00D56971"/>
    <w:rsid w:val="00D5710F"/>
    <w:rsid w:val="00D6241F"/>
    <w:rsid w:val="00D637A0"/>
    <w:rsid w:val="00D7009F"/>
    <w:rsid w:val="00D70682"/>
    <w:rsid w:val="00D71217"/>
    <w:rsid w:val="00D71BAD"/>
    <w:rsid w:val="00D80C3D"/>
    <w:rsid w:val="00D82EFA"/>
    <w:rsid w:val="00D96A3F"/>
    <w:rsid w:val="00D96EF7"/>
    <w:rsid w:val="00DA105D"/>
    <w:rsid w:val="00DA2163"/>
    <w:rsid w:val="00DA3ABF"/>
    <w:rsid w:val="00DA4919"/>
    <w:rsid w:val="00DA75DC"/>
    <w:rsid w:val="00DB20D7"/>
    <w:rsid w:val="00DB3BB2"/>
    <w:rsid w:val="00DB6DA3"/>
    <w:rsid w:val="00DB7DF8"/>
    <w:rsid w:val="00DC6E3B"/>
    <w:rsid w:val="00DD0B31"/>
    <w:rsid w:val="00DD273B"/>
    <w:rsid w:val="00DE2001"/>
    <w:rsid w:val="00DE24B7"/>
    <w:rsid w:val="00DE40C9"/>
    <w:rsid w:val="00DE678D"/>
    <w:rsid w:val="00DF72D5"/>
    <w:rsid w:val="00E012F8"/>
    <w:rsid w:val="00E07D31"/>
    <w:rsid w:val="00E07DAF"/>
    <w:rsid w:val="00E1488A"/>
    <w:rsid w:val="00E148DF"/>
    <w:rsid w:val="00E17752"/>
    <w:rsid w:val="00E217FF"/>
    <w:rsid w:val="00E24CCC"/>
    <w:rsid w:val="00E303AC"/>
    <w:rsid w:val="00E35A69"/>
    <w:rsid w:val="00E3784D"/>
    <w:rsid w:val="00E462F7"/>
    <w:rsid w:val="00E54BD0"/>
    <w:rsid w:val="00E571FC"/>
    <w:rsid w:val="00E57B74"/>
    <w:rsid w:val="00E6620E"/>
    <w:rsid w:val="00E66264"/>
    <w:rsid w:val="00E723EA"/>
    <w:rsid w:val="00E74DB2"/>
    <w:rsid w:val="00E7691A"/>
    <w:rsid w:val="00E82AA1"/>
    <w:rsid w:val="00E84366"/>
    <w:rsid w:val="00E87DB3"/>
    <w:rsid w:val="00E87DD3"/>
    <w:rsid w:val="00E905AC"/>
    <w:rsid w:val="00E9250E"/>
    <w:rsid w:val="00E93E16"/>
    <w:rsid w:val="00E94870"/>
    <w:rsid w:val="00EA402B"/>
    <w:rsid w:val="00EA613C"/>
    <w:rsid w:val="00EA7A1A"/>
    <w:rsid w:val="00EB31E0"/>
    <w:rsid w:val="00EB7121"/>
    <w:rsid w:val="00EB7CCB"/>
    <w:rsid w:val="00EC0EE6"/>
    <w:rsid w:val="00EC1A51"/>
    <w:rsid w:val="00EC3D9F"/>
    <w:rsid w:val="00EC4279"/>
    <w:rsid w:val="00EC58B3"/>
    <w:rsid w:val="00EC72BC"/>
    <w:rsid w:val="00ED2326"/>
    <w:rsid w:val="00ED3079"/>
    <w:rsid w:val="00ED3BC9"/>
    <w:rsid w:val="00ED3E50"/>
    <w:rsid w:val="00ED4E9A"/>
    <w:rsid w:val="00EE5971"/>
    <w:rsid w:val="00EE5A18"/>
    <w:rsid w:val="00EE769E"/>
    <w:rsid w:val="00EF0C75"/>
    <w:rsid w:val="00EF1934"/>
    <w:rsid w:val="00EF604A"/>
    <w:rsid w:val="00EF7037"/>
    <w:rsid w:val="00F01E4A"/>
    <w:rsid w:val="00F0517F"/>
    <w:rsid w:val="00F10062"/>
    <w:rsid w:val="00F10547"/>
    <w:rsid w:val="00F1602D"/>
    <w:rsid w:val="00F213B6"/>
    <w:rsid w:val="00F24684"/>
    <w:rsid w:val="00F2480C"/>
    <w:rsid w:val="00F249B1"/>
    <w:rsid w:val="00F26A5A"/>
    <w:rsid w:val="00F2707A"/>
    <w:rsid w:val="00F32C8A"/>
    <w:rsid w:val="00F36BF3"/>
    <w:rsid w:val="00F37509"/>
    <w:rsid w:val="00F3781E"/>
    <w:rsid w:val="00F447B3"/>
    <w:rsid w:val="00F45927"/>
    <w:rsid w:val="00F45B27"/>
    <w:rsid w:val="00F47297"/>
    <w:rsid w:val="00F47829"/>
    <w:rsid w:val="00F502E3"/>
    <w:rsid w:val="00F5103E"/>
    <w:rsid w:val="00F51F5B"/>
    <w:rsid w:val="00F551E6"/>
    <w:rsid w:val="00F55D70"/>
    <w:rsid w:val="00F666F9"/>
    <w:rsid w:val="00F71EDD"/>
    <w:rsid w:val="00F74C07"/>
    <w:rsid w:val="00F75C79"/>
    <w:rsid w:val="00F76584"/>
    <w:rsid w:val="00F76CA9"/>
    <w:rsid w:val="00F76E56"/>
    <w:rsid w:val="00F77D68"/>
    <w:rsid w:val="00F822B2"/>
    <w:rsid w:val="00F84604"/>
    <w:rsid w:val="00F851F5"/>
    <w:rsid w:val="00F87C15"/>
    <w:rsid w:val="00F9394B"/>
    <w:rsid w:val="00F969E1"/>
    <w:rsid w:val="00FA3C6D"/>
    <w:rsid w:val="00FA6635"/>
    <w:rsid w:val="00FB13CF"/>
    <w:rsid w:val="00FB5DE6"/>
    <w:rsid w:val="00FB5E28"/>
    <w:rsid w:val="00FB740A"/>
    <w:rsid w:val="00FC429B"/>
    <w:rsid w:val="00FC74CE"/>
    <w:rsid w:val="00FC78CF"/>
    <w:rsid w:val="00FD6172"/>
    <w:rsid w:val="00FD6BE2"/>
    <w:rsid w:val="00FE24D6"/>
    <w:rsid w:val="00FE2B5E"/>
    <w:rsid w:val="00FE395A"/>
    <w:rsid w:val="00FE778B"/>
    <w:rsid w:val="00FF514D"/>
    <w:rsid w:val="00FF5369"/>
    <w:rsid w:val="00FF6304"/>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2DFD16"/>
  <w15:docId w15:val="{29DEC681-7659-41EA-87D7-CC94922D8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25284"/>
    <w:rPr>
      <w:sz w:val="24"/>
      <w:szCs w:val="24"/>
    </w:rPr>
  </w:style>
  <w:style w:type="paragraph" w:styleId="berschrift3">
    <w:name w:val="heading 3"/>
    <w:basedOn w:val="Standard"/>
    <w:next w:val="Standard"/>
    <w:qFormat/>
    <w:rsid w:val="0086295F"/>
    <w:pPr>
      <w:keepNext/>
      <w:outlineLvl w:val="2"/>
    </w:pPr>
    <w:rPr>
      <w:rFonts w:ascii="Arial" w:hAnsi="Arial"/>
      <w:b/>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sid w:val="00745E7E"/>
    <w:rPr>
      <w:color w:val="0000FF"/>
      <w:u w:val="single"/>
    </w:rPr>
  </w:style>
  <w:style w:type="paragraph" w:styleId="Sprechblasentext">
    <w:name w:val="Balloon Text"/>
    <w:basedOn w:val="Standard"/>
    <w:semiHidden/>
    <w:rsid w:val="008D6EB5"/>
    <w:rPr>
      <w:rFonts w:ascii="Tahoma" w:hAnsi="Tahoma" w:cs="Tahoma"/>
      <w:sz w:val="16"/>
      <w:szCs w:val="16"/>
    </w:rPr>
  </w:style>
  <w:style w:type="character" w:styleId="BesuchterLink">
    <w:name w:val="FollowedHyperlink"/>
    <w:rsid w:val="003E4D2B"/>
    <w:rPr>
      <w:color w:val="606420"/>
      <w:u w:val="single"/>
    </w:rPr>
  </w:style>
  <w:style w:type="paragraph" w:customStyle="1" w:styleId="berschrift32">
    <w:name w:val="Überschrift 32"/>
    <w:basedOn w:val="Standard"/>
    <w:rsid w:val="00A269CE"/>
    <w:pPr>
      <w:outlineLvl w:val="3"/>
    </w:pPr>
    <w:rPr>
      <w:b/>
      <w:bCs/>
      <w:color w:val="000000"/>
      <w:sz w:val="26"/>
      <w:szCs w:val="26"/>
    </w:rPr>
  </w:style>
  <w:style w:type="paragraph" w:styleId="Beschriftung">
    <w:name w:val="caption"/>
    <w:basedOn w:val="Standard"/>
    <w:next w:val="Standard"/>
    <w:qFormat/>
    <w:rsid w:val="0093136C"/>
    <w:pPr>
      <w:spacing w:before="120" w:after="120"/>
    </w:pPr>
    <w:rPr>
      <w:b/>
      <w:bCs/>
      <w:sz w:val="20"/>
      <w:szCs w:val="20"/>
    </w:rPr>
  </w:style>
  <w:style w:type="paragraph" w:styleId="Kopfzeile">
    <w:name w:val="header"/>
    <w:basedOn w:val="Standard"/>
    <w:rsid w:val="00D80C3D"/>
    <w:pPr>
      <w:tabs>
        <w:tab w:val="center" w:pos="4536"/>
        <w:tab w:val="right" w:pos="9072"/>
      </w:tabs>
    </w:pPr>
  </w:style>
  <w:style w:type="paragraph" w:styleId="Fuzeile">
    <w:name w:val="footer"/>
    <w:basedOn w:val="Standard"/>
    <w:rsid w:val="00D80C3D"/>
    <w:pPr>
      <w:tabs>
        <w:tab w:val="center" w:pos="4536"/>
        <w:tab w:val="right" w:pos="9072"/>
      </w:tabs>
    </w:pPr>
  </w:style>
  <w:style w:type="character" w:styleId="Seitenzahl">
    <w:name w:val="page number"/>
    <w:basedOn w:val="Absatz-Standardschriftart"/>
    <w:rsid w:val="002A0A1F"/>
  </w:style>
  <w:style w:type="paragraph" w:customStyle="1" w:styleId="StandardWeb2">
    <w:name w:val="Standard (Web)2"/>
    <w:basedOn w:val="Standard"/>
    <w:rsid w:val="008F1C00"/>
    <w:rPr>
      <w:color w:val="000000"/>
      <w:sz w:val="26"/>
      <w:szCs w:val="26"/>
    </w:rPr>
  </w:style>
  <w:style w:type="paragraph" w:styleId="Dokumentstruktur">
    <w:name w:val="Document Map"/>
    <w:basedOn w:val="Standard"/>
    <w:semiHidden/>
    <w:rsid w:val="001B36CA"/>
    <w:pPr>
      <w:shd w:val="clear" w:color="auto" w:fill="000080"/>
    </w:pPr>
    <w:rPr>
      <w:rFonts w:ascii="Tahoma" w:hAnsi="Tahoma" w:cs="Tahoma"/>
    </w:rPr>
  </w:style>
  <w:style w:type="paragraph" w:customStyle="1" w:styleId="Default">
    <w:name w:val="Default"/>
    <w:rsid w:val="00EF7037"/>
    <w:pPr>
      <w:autoSpaceDE w:val="0"/>
      <w:autoSpaceDN w:val="0"/>
      <w:adjustRightInd w:val="0"/>
    </w:pPr>
    <w:rPr>
      <w:rFonts w:ascii="LHOGI B+ Univers" w:hAnsi="LHOGI B+ Univers" w:cs="LHOGI B+ Univers"/>
      <w:color w:val="000000"/>
      <w:sz w:val="24"/>
      <w:szCs w:val="24"/>
    </w:rPr>
  </w:style>
  <w:style w:type="paragraph" w:customStyle="1" w:styleId="Hauptberschrift">
    <w:name w:val="Hauptüberschrift"/>
    <w:basedOn w:val="Standard"/>
    <w:rsid w:val="00235ED6"/>
    <w:pPr>
      <w:spacing w:after="120" w:line="360" w:lineRule="auto"/>
    </w:pPr>
    <w:rPr>
      <w:rFonts w:ascii="Arial" w:hAnsi="Arial" w:cs="Arial"/>
      <w:b/>
      <w:sz w:val="36"/>
      <w:szCs w:val="36"/>
    </w:rPr>
  </w:style>
  <w:style w:type="paragraph" w:customStyle="1" w:styleId="Listenabsatz1">
    <w:name w:val="Listenabsatz1"/>
    <w:basedOn w:val="Standard"/>
    <w:rsid w:val="00E57B74"/>
    <w:pPr>
      <w:ind w:left="720"/>
      <w:contextualSpacing/>
    </w:pPr>
  </w:style>
  <w:style w:type="character" w:styleId="Zeilennummer">
    <w:name w:val="line number"/>
    <w:basedOn w:val="Absatz-Standardschriftart"/>
    <w:rsid w:val="00F37509"/>
  </w:style>
  <w:style w:type="paragraph" w:styleId="berarbeitung">
    <w:name w:val="Revision"/>
    <w:hidden/>
    <w:uiPriority w:val="99"/>
    <w:semiHidden/>
    <w:rsid w:val="005310D0"/>
    <w:rPr>
      <w:sz w:val="24"/>
      <w:szCs w:val="24"/>
    </w:rPr>
  </w:style>
  <w:style w:type="character" w:customStyle="1" w:styleId="NichtaufgelsteErwhnung1">
    <w:name w:val="Nicht aufgelöste Erwähnung1"/>
    <w:basedOn w:val="Absatz-Standardschriftart"/>
    <w:uiPriority w:val="99"/>
    <w:semiHidden/>
    <w:unhideWhenUsed/>
    <w:rsid w:val="00444993"/>
    <w:rPr>
      <w:color w:val="605E5C"/>
      <w:shd w:val="clear" w:color="auto" w:fill="E1DFDD"/>
    </w:rPr>
  </w:style>
  <w:style w:type="paragraph" w:styleId="Listenabsatz">
    <w:name w:val="List Paragraph"/>
    <w:basedOn w:val="Standard"/>
    <w:uiPriority w:val="34"/>
    <w:qFormat/>
    <w:rsid w:val="00BC3AE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7068174">
      <w:bodyDiv w:val="1"/>
      <w:marLeft w:val="0"/>
      <w:marRight w:val="0"/>
      <w:marTop w:val="0"/>
      <w:marBottom w:val="0"/>
      <w:divBdr>
        <w:top w:val="none" w:sz="0" w:space="0" w:color="auto"/>
        <w:left w:val="none" w:sz="0" w:space="0" w:color="auto"/>
        <w:bottom w:val="none" w:sz="0" w:space="0" w:color="auto"/>
        <w:right w:val="none" w:sz="0" w:space="0" w:color="auto"/>
      </w:divBdr>
      <w:divsChild>
        <w:div w:id="1907453821">
          <w:marLeft w:val="0"/>
          <w:marRight w:val="0"/>
          <w:marTop w:val="0"/>
          <w:marBottom w:val="0"/>
          <w:divBdr>
            <w:top w:val="single" w:sz="2" w:space="0" w:color="000000"/>
            <w:left w:val="single" w:sz="6" w:space="0" w:color="98989B"/>
            <w:bottom w:val="single" w:sz="6" w:space="0" w:color="000000"/>
            <w:right w:val="single" w:sz="6" w:space="0" w:color="000000"/>
          </w:divBdr>
          <w:divsChild>
            <w:div w:id="1941572128">
              <w:marLeft w:val="0"/>
              <w:marRight w:val="0"/>
              <w:marTop w:val="0"/>
              <w:marBottom w:val="0"/>
              <w:divBdr>
                <w:top w:val="single" w:sz="2" w:space="0" w:color="000000"/>
                <w:left w:val="single" w:sz="6" w:space="0" w:color="98989B"/>
                <w:bottom w:val="single" w:sz="6" w:space="0" w:color="000000"/>
                <w:right w:val="single" w:sz="6" w:space="0" w:color="000000"/>
              </w:divBdr>
              <w:divsChild>
                <w:div w:id="1442413096">
                  <w:marLeft w:val="0"/>
                  <w:marRight w:val="0"/>
                  <w:marTop w:val="0"/>
                  <w:marBottom w:val="0"/>
                  <w:divBdr>
                    <w:top w:val="single" w:sz="2" w:space="0" w:color="000000"/>
                    <w:left w:val="single" w:sz="6" w:space="0" w:color="98989B"/>
                    <w:bottom w:val="single" w:sz="6" w:space="0" w:color="000000"/>
                    <w:right w:val="single" w:sz="6" w:space="0" w:color="000000"/>
                  </w:divBdr>
                  <w:divsChild>
                    <w:div w:id="740447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7671610">
      <w:marLeft w:val="0"/>
      <w:marRight w:val="0"/>
      <w:marTop w:val="21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iner.gondek@index-werke.de"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6CFF5-8138-41BC-8392-C3F827131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880</Words>
  <Characters>5548</Characters>
  <Application>Microsoft Office Word</Application>
  <DocSecurity>4</DocSecurity>
  <Lines>46</Lines>
  <Paragraphs>12</Paragraphs>
  <ScaleCrop>false</ScaleCrop>
  <HeadingPairs>
    <vt:vector size="2" baseType="variant">
      <vt:variant>
        <vt:lpstr>Titel</vt:lpstr>
      </vt:variant>
      <vt:variant>
        <vt:i4>1</vt:i4>
      </vt:variant>
    </vt:vector>
  </HeadingPairs>
  <TitlesOfParts>
    <vt:vector size="1" baseType="lpstr">
      <vt:lpstr>PI INDEX G160</vt:lpstr>
    </vt:vector>
  </TitlesOfParts>
  <Company>INDEX-Werke GmbH &amp; Co. KG</Company>
  <LinksUpToDate>false</LinksUpToDate>
  <CharactersWithSpaces>6416</CharactersWithSpaces>
  <SharedDoc>false</SharedDoc>
  <HLinks>
    <vt:vector size="6" baseType="variant">
      <vt:variant>
        <vt:i4>3473413</vt:i4>
      </vt:variant>
      <vt:variant>
        <vt:i4>0</vt:i4>
      </vt:variant>
      <vt:variant>
        <vt:i4>0</vt:i4>
      </vt:variant>
      <vt:variant>
        <vt:i4>5</vt:i4>
      </vt:variant>
      <vt:variant>
        <vt:lpwstr>mailto:michael.czudaj@index-werke.de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 INDEX G160</dc:title>
  <dc:subject/>
  <dc:creator>INDEX-Werke GmbH &amp; Co. KG</dc:creator>
  <cp:keywords/>
  <dc:description/>
  <cp:lastModifiedBy>Gondek, Rainer</cp:lastModifiedBy>
  <cp:revision>2</cp:revision>
  <cp:lastPrinted>2026-01-21T06:59:00Z</cp:lastPrinted>
  <dcterms:created xsi:type="dcterms:W3CDTF">2026-08-25T08:25:00Z</dcterms:created>
  <dcterms:modified xsi:type="dcterms:W3CDTF">2026-08-25T08:25:00Z</dcterms:modified>
</cp:coreProperties>
</file>